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2773" w14:textId="77777777" w:rsidR="00845541" w:rsidRPr="00DB33F2" w:rsidRDefault="00845541" w:rsidP="00845541">
      <w:pPr>
        <w:tabs>
          <w:tab w:val="clear" w:pos="284"/>
        </w:tabs>
        <w:spacing w:before="480"/>
        <w:jc w:val="left"/>
        <w:outlineLvl w:val="0"/>
        <w:rPr>
          <w:rFonts w:ascii="Times" w:hAnsi="Times"/>
          <w:b/>
          <w:noProof/>
          <w:szCs w:val="20"/>
        </w:rPr>
      </w:pPr>
      <w:r w:rsidRPr="00DB33F2">
        <w:rPr>
          <w:rFonts w:ascii="Times" w:hAnsi="Times"/>
          <w:b/>
          <w:noProof/>
          <w:szCs w:val="20"/>
        </w:rPr>
        <w:t>Criminologia</w:t>
      </w:r>
    </w:p>
    <w:p w14:paraId="338E27F7" w14:textId="77777777" w:rsidR="00845541" w:rsidRPr="00DB33F2" w:rsidRDefault="00845541" w:rsidP="00845541">
      <w:pPr>
        <w:tabs>
          <w:tab w:val="clear" w:pos="284"/>
        </w:tabs>
        <w:jc w:val="left"/>
        <w:outlineLvl w:val="1"/>
        <w:rPr>
          <w:rFonts w:ascii="Times" w:hAnsi="Times"/>
          <w:smallCaps/>
          <w:noProof/>
          <w:sz w:val="18"/>
          <w:szCs w:val="20"/>
        </w:rPr>
      </w:pPr>
      <w:r w:rsidRPr="00DB33F2">
        <w:rPr>
          <w:rFonts w:ascii="Times" w:hAnsi="Times"/>
          <w:smallCaps/>
          <w:noProof/>
          <w:sz w:val="18"/>
          <w:szCs w:val="20"/>
        </w:rPr>
        <w:t>Prof. Gabrio Forti</w:t>
      </w:r>
    </w:p>
    <w:p w14:paraId="6FA0099E" w14:textId="77777777" w:rsidR="002D5E17" w:rsidRDefault="00845541" w:rsidP="00845541">
      <w:pPr>
        <w:spacing w:before="240" w:after="120"/>
        <w:rPr>
          <w:b/>
          <w:sz w:val="18"/>
        </w:rPr>
      </w:pPr>
      <w:r>
        <w:rPr>
          <w:b/>
          <w:i/>
          <w:sz w:val="18"/>
        </w:rPr>
        <w:t>OBIETTIVO DEL CORSO E RISULTATI DI APPRENDIMENTO ATTESI</w:t>
      </w:r>
    </w:p>
    <w:p w14:paraId="699DD8E6" w14:textId="30F496DB" w:rsidR="00845541" w:rsidRDefault="00845541" w:rsidP="00845541">
      <w:pPr>
        <w:rPr>
          <w:rFonts w:eastAsia="MS Mincho"/>
        </w:rPr>
      </w:pPr>
      <w:r w:rsidRPr="00537AE1">
        <w:rPr>
          <w:rFonts w:eastAsia="MS Mincho"/>
        </w:rPr>
        <w:t xml:space="preserve">L’insegnamento si propone di </w:t>
      </w:r>
      <w:r>
        <w:rPr>
          <w:rFonts w:eastAsia="MS Mincho"/>
        </w:rPr>
        <w:t xml:space="preserve">introdurre </w:t>
      </w:r>
      <w:r w:rsidRPr="00537AE1">
        <w:rPr>
          <w:rFonts w:eastAsia="MS Mincho"/>
        </w:rPr>
        <w:t xml:space="preserve">gli studenti </w:t>
      </w:r>
      <w:r>
        <w:rPr>
          <w:rFonts w:eastAsia="Calibri"/>
          <w:lang w:eastAsia="en-US"/>
        </w:rPr>
        <w:t xml:space="preserve">a </w:t>
      </w:r>
      <w:r w:rsidRPr="00DB33F2">
        <w:rPr>
          <w:rFonts w:eastAsia="Calibri"/>
          <w:lang w:eastAsia="en-US"/>
        </w:rPr>
        <w:t>una preparazione di base sulla materia criminologica, avviandoli altresì all’apprendimento dei metodi di ricerca e di analisi interdisciplinare penalistico-criminologica.</w:t>
      </w:r>
      <w:r w:rsidRPr="00DF4856">
        <w:rPr>
          <w:rFonts w:eastAsia="MS Mincho"/>
        </w:rPr>
        <w:t xml:space="preserve"> </w:t>
      </w:r>
      <w:r>
        <w:rPr>
          <w:rFonts w:eastAsia="MS Mincho"/>
        </w:rPr>
        <w:t>Al termine del corso ci si attende che lo studente</w:t>
      </w:r>
      <w:r w:rsidRPr="00537AE1">
        <w:rPr>
          <w:rFonts w:eastAsia="MS Mincho"/>
        </w:rPr>
        <w:t xml:space="preserve"> </w:t>
      </w:r>
      <w:r>
        <w:rPr>
          <w:rFonts w:eastAsia="MS Mincho"/>
        </w:rPr>
        <w:t>abbia acquisito</w:t>
      </w:r>
      <w:r w:rsidR="001D4302">
        <w:rPr>
          <w:rFonts w:eastAsia="MS Mincho"/>
        </w:rPr>
        <w:t>,</w:t>
      </w:r>
      <w:r>
        <w:rPr>
          <w:rFonts w:eastAsia="MS Mincho"/>
        </w:rPr>
        <w:t xml:space="preserve"> </w:t>
      </w:r>
      <w:r w:rsidR="001D4302">
        <w:rPr>
          <w:rFonts w:eastAsia="MS Mincho"/>
        </w:rPr>
        <w:t xml:space="preserve">oltre che </w:t>
      </w:r>
      <w:r>
        <w:rPr>
          <w:rFonts w:eastAsia="MS Mincho"/>
        </w:rPr>
        <w:t xml:space="preserve">un’adeguata conoscenza e comprensione </w:t>
      </w:r>
      <w:r w:rsidR="001D4302">
        <w:rPr>
          <w:rFonts w:eastAsia="MS Mincho"/>
        </w:rPr>
        <w:t>delle nozioni e teorie fondamentali, una capacità di applicare le stesse a varie problematiche attuali di diritto penale (sia vigente sia in prospettiva di riforma) e politica criminale, richiamando le aree di conoscenza empirico-sociale necessarie al loro chiarimento e soluzione.</w:t>
      </w:r>
    </w:p>
    <w:p w14:paraId="6796DBF9" w14:textId="77777777" w:rsidR="00845541" w:rsidRDefault="00845541" w:rsidP="00845541">
      <w:pPr>
        <w:spacing w:before="240" w:after="120"/>
        <w:rPr>
          <w:b/>
          <w:sz w:val="18"/>
        </w:rPr>
      </w:pPr>
      <w:r>
        <w:rPr>
          <w:b/>
          <w:i/>
          <w:sz w:val="18"/>
        </w:rPr>
        <w:t>PROGRAMMA DEL CORSO</w:t>
      </w:r>
    </w:p>
    <w:p w14:paraId="2181D94B" w14:textId="77777777" w:rsidR="00845541" w:rsidRPr="00DB33F2" w:rsidRDefault="00845541" w:rsidP="00845541">
      <w:pPr>
        <w:tabs>
          <w:tab w:val="clear" w:pos="284"/>
        </w:tabs>
        <w:spacing w:line="220" w:lineRule="exact"/>
        <w:rPr>
          <w:rFonts w:ascii="Times" w:hAnsi="Times"/>
          <w:smallCaps/>
          <w:noProof/>
          <w:sz w:val="18"/>
          <w:szCs w:val="18"/>
        </w:rPr>
      </w:pPr>
      <w:r w:rsidRPr="00DB33F2">
        <w:rPr>
          <w:rFonts w:ascii="Times" w:hAnsi="Times"/>
          <w:smallCaps/>
          <w:noProof/>
          <w:sz w:val="18"/>
          <w:szCs w:val="18"/>
        </w:rPr>
        <w:t>Parte generale</w:t>
      </w:r>
    </w:p>
    <w:p w14:paraId="0D79D310" w14:textId="77777777" w:rsidR="00845541" w:rsidRPr="00DB33F2" w:rsidRDefault="00845541" w:rsidP="00845541">
      <w:pPr>
        <w:tabs>
          <w:tab w:val="clear" w:pos="284"/>
        </w:tabs>
        <w:rPr>
          <w:rFonts w:ascii="Times" w:hAnsi="Times"/>
          <w:noProof/>
          <w:szCs w:val="20"/>
        </w:rPr>
      </w:pPr>
      <w:r w:rsidRPr="00DB33F2">
        <w:rPr>
          <w:rFonts w:ascii="Times" w:hAnsi="Times"/>
          <w:noProof/>
          <w:szCs w:val="20"/>
        </w:rPr>
        <w:t>Le definizioni della criminologia. I rapporti tra criminologia in senso proprio, criminologia applicata, scienze forensi e criminalistica. Crimine, criminalità e criminalizzazione. La criminologia “umana”. Introduzione all’analisi criminologica: la “molecola” criminale. Tipi di ricerca criminologica. Le ricerche descrittive. Le ricerche esplicative. Le ricerche quantitative. L’interazionismo simbolico. I test di Milgram e Zimbardo. Istituzioni totali, crimine organizzativo, crimine economico. Nascita ed evoluzione della criminologia moderna. Cesare Beccaria e la Scuola liberale-classica. La Scuola positiva. Le “nuove” criminologie. La vittimologia. Crimine e reato. Il caso Sutherland. Le definizioni del “crimine”. La gravità del crimine. La definizione “piramidale” del crimine. Elementi di una teoria generale del crimine Il rapporto tra diritto penale e criminologia. L’apporto criminologico all’impostazione e soluzione dei problemi del diritto penale “Idea dello scopo”, politica criminale e scienza penale integrata: il programma di Marburgo. Criminologia e teorie della pena. La teoria delle “attività routinarie”. La prevenzione: primaria, secondaria e terziaria; di comunità. Il principio di offensività. L'extrema ratio o sussidiarietà del diritto penale. Il principio di determinatezza della fattispecie penale. La perizia nel processo penale. Il problema della spiegazione del crimine. Causalità lineare ed epistemologia cibernetica. Le teorie criminologiche. L'anomia e la teoria della tensione. La teoria delle opportunità differenziali e le teorie sottoculturali. La teoria delle “neutralizzazioni”. La teoria delle “associazioni differenziali”. Le teorie del controllo sociale. Il crimine e la pena nell’età della globalizzazione. La cultura del controllo.</w:t>
      </w:r>
    </w:p>
    <w:p w14:paraId="15A2C4DD" w14:textId="01167BF8" w:rsidR="00845541" w:rsidRPr="00DB33F2" w:rsidRDefault="00845541" w:rsidP="00845541">
      <w:pPr>
        <w:tabs>
          <w:tab w:val="clear" w:pos="284"/>
        </w:tabs>
        <w:spacing w:before="120"/>
        <w:rPr>
          <w:rFonts w:ascii="Times" w:hAnsi="Times"/>
          <w:noProof/>
          <w:szCs w:val="20"/>
        </w:rPr>
      </w:pPr>
      <w:r w:rsidRPr="00DB33F2">
        <w:rPr>
          <w:rFonts w:ascii="Times" w:hAnsi="Times"/>
          <w:smallCaps/>
          <w:noProof/>
          <w:sz w:val="18"/>
          <w:szCs w:val="18"/>
        </w:rPr>
        <w:lastRenderedPageBreak/>
        <w:t>Parte speciale</w:t>
      </w:r>
      <w:r w:rsidRPr="00DB33F2">
        <w:rPr>
          <w:rFonts w:ascii="Times" w:hAnsi="Times"/>
          <w:noProof/>
          <w:szCs w:val="20"/>
        </w:rPr>
        <w:t xml:space="preserve"> </w:t>
      </w:r>
      <w:r w:rsidRPr="00DB33F2">
        <w:rPr>
          <w:rFonts w:ascii="Times" w:hAnsi="Times"/>
          <w:i/>
          <w:noProof/>
          <w:szCs w:val="20"/>
        </w:rPr>
        <w:t>(</w:t>
      </w:r>
      <w:r w:rsidR="006A4CF3">
        <w:rPr>
          <w:rFonts w:ascii="Times" w:hAnsi="Times"/>
          <w:i/>
          <w:noProof/>
          <w:szCs w:val="20"/>
        </w:rPr>
        <w:t>prevista solo per gli studenti che abbiano optato per la modalità da 9 CFU, o</w:t>
      </w:r>
      <w:r w:rsidRPr="00DB33F2">
        <w:rPr>
          <w:rFonts w:ascii="Times" w:hAnsi="Times"/>
          <w:i/>
          <w:noProof/>
          <w:szCs w:val="20"/>
        </w:rPr>
        <w:t xml:space="preserve">bbligatoria </w:t>
      </w:r>
      <w:r w:rsidR="006A4CF3">
        <w:rPr>
          <w:rFonts w:ascii="Times" w:hAnsi="Times"/>
          <w:i/>
          <w:noProof/>
          <w:szCs w:val="20"/>
        </w:rPr>
        <w:t xml:space="preserve">solo per </w:t>
      </w:r>
      <w:r w:rsidRPr="00DB33F2">
        <w:rPr>
          <w:rFonts w:ascii="Times" w:hAnsi="Times"/>
          <w:i/>
          <w:noProof/>
          <w:szCs w:val="20"/>
        </w:rPr>
        <w:t xml:space="preserve"> il</w:t>
      </w:r>
      <w:r w:rsidR="006A4CF3">
        <w:rPr>
          <w:rFonts w:ascii="Times" w:hAnsi="Times"/>
          <w:i/>
          <w:noProof/>
          <w:szCs w:val="20"/>
        </w:rPr>
        <w:t xml:space="preserve"> biennio specialistico “</w:t>
      </w:r>
      <w:r w:rsidRPr="00DB33F2">
        <w:rPr>
          <w:rFonts w:ascii="Times" w:hAnsi="Times"/>
          <w:i/>
          <w:noProof/>
          <w:szCs w:val="20"/>
        </w:rPr>
        <w:t>penalistico-criminologico”)</w:t>
      </w:r>
    </w:p>
    <w:p w14:paraId="206700AB" w14:textId="77777777" w:rsidR="00845541" w:rsidRPr="00DB33F2" w:rsidRDefault="00845541" w:rsidP="00845541">
      <w:pPr>
        <w:tabs>
          <w:tab w:val="clear" w:pos="284"/>
        </w:tabs>
        <w:rPr>
          <w:rFonts w:eastAsia="Calibri"/>
          <w:szCs w:val="22"/>
          <w:lang w:eastAsia="en-US"/>
        </w:rPr>
      </w:pPr>
      <w:r w:rsidRPr="00DB33F2">
        <w:rPr>
          <w:rFonts w:eastAsia="Calibri"/>
          <w:szCs w:val="22"/>
          <w:lang w:eastAsia="en-US"/>
        </w:rPr>
        <w:t>I crimini contro l’umanità. La criminalità economica. La criminalità politico-amministrativa. La criminalità organizzata di tipo mafioso. La criminalità connessa al traffico e al consumo di sostanze stupefacenti. L’omicidio e la criminalità di violenza. I sequestri di persona. La violenza sessuale. La delinquenza giovanile. La criminalità politico-terroristica. La condizione dell’immigrato tra criminalizzazione e vittimizzazione. La criminalità femminile. L’abuso all’infanzia (</w:t>
      </w:r>
      <w:r w:rsidRPr="00DB33F2">
        <w:rPr>
          <w:rFonts w:eastAsia="Calibri"/>
          <w:i/>
          <w:szCs w:val="22"/>
          <w:lang w:eastAsia="en-US"/>
        </w:rPr>
        <w:t>child abuse and neglect</w:t>
      </w:r>
      <w:r w:rsidRPr="00DB33F2">
        <w:rPr>
          <w:rFonts w:eastAsia="Calibri"/>
          <w:szCs w:val="22"/>
          <w:lang w:eastAsia="en-US"/>
        </w:rPr>
        <w:t>). La criminalità in ambiente urbano. La rappresentazione televisiva del crimine. Le nuove schiavitù: la tratta di esseri umani. La vittimizzazione femminile. Crimine, diritto penale e letteratura (</w:t>
      </w:r>
      <w:r w:rsidRPr="00DB33F2">
        <w:rPr>
          <w:rFonts w:eastAsia="Calibri"/>
          <w:i/>
          <w:szCs w:val="22"/>
          <w:lang w:eastAsia="en-US"/>
        </w:rPr>
        <w:t>law and literature</w:t>
      </w:r>
      <w:r w:rsidRPr="00DB33F2">
        <w:rPr>
          <w:rFonts w:eastAsia="Calibri"/>
          <w:szCs w:val="22"/>
          <w:lang w:eastAsia="en-US"/>
        </w:rPr>
        <w:t>). La polizia. Crimine e globalizzazione. La criminalità predatoria.</w:t>
      </w:r>
    </w:p>
    <w:p w14:paraId="2A91644F" w14:textId="01CDD88D" w:rsidR="00845541" w:rsidRDefault="00845541" w:rsidP="00845541">
      <w:pPr>
        <w:keepNext/>
        <w:spacing w:before="240" w:after="120"/>
        <w:rPr>
          <w:b/>
          <w:sz w:val="18"/>
        </w:rPr>
      </w:pPr>
      <w:r>
        <w:rPr>
          <w:b/>
          <w:i/>
          <w:sz w:val="18"/>
        </w:rPr>
        <w:t>BIBLIOGRAFIA</w:t>
      </w:r>
      <w:r w:rsidR="006E534B">
        <w:rPr>
          <w:rStyle w:val="Rimandonotaapidipagina"/>
          <w:b/>
          <w:i/>
          <w:sz w:val="18"/>
        </w:rPr>
        <w:footnoteReference w:id="1"/>
      </w:r>
    </w:p>
    <w:p w14:paraId="26C1E96B" w14:textId="77777777" w:rsidR="00845541" w:rsidRPr="00845541" w:rsidRDefault="00845541" w:rsidP="00845541">
      <w:pPr>
        <w:pStyle w:val="Testo2"/>
        <w:rPr>
          <w:i/>
        </w:rPr>
      </w:pPr>
      <w:r w:rsidRPr="00845541">
        <w:rPr>
          <w:i/>
        </w:rPr>
        <w:t>Parte generale</w:t>
      </w:r>
    </w:p>
    <w:p w14:paraId="7824629E" w14:textId="317B615C" w:rsidR="00845541" w:rsidRPr="00845541" w:rsidRDefault="00845541" w:rsidP="00845541">
      <w:pPr>
        <w:pStyle w:val="Testo2"/>
        <w:spacing w:line="240" w:lineRule="atLeast"/>
        <w:ind w:left="284" w:hanging="284"/>
        <w:rPr>
          <w:spacing w:val="-5"/>
        </w:rPr>
      </w:pPr>
      <w:r w:rsidRPr="00DB33F2">
        <w:rPr>
          <w:smallCaps/>
          <w:spacing w:val="-5"/>
          <w:sz w:val="16"/>
        </w:rPr>
        <w:t>G. Forti,</w:t>
      </w:r>
      <w:r w:rsidRPr="00DB33F2">
        <w:rPr>
          <w:i/>
          <w:spacing w:val="-5"/>
        </w:rPr>
        <w:t xml:space="preserve"> </w:t>
      </w:r>
      <w:r w:rsidRPr="00845541">
        <w:rPr>
          <w:i/>
          <w:spacing w:val="-5"/>
        </w:rPr>
        <w:t>L’immane concretezza. Metamorfosi del crimine e controllo penale,</w:t>
      </w:r>
      <w:r w:rsidRPr="00845541">
        <w:rPr>
          <w:spacing w:val="-5"/>
        </w:rPr>
        <w:t xml:space="preserve"> Cortina, Milano, 2000.</w:t>
      </w:r>
      <w:r w:rsidR="006E534B">
        <w:rPr>
          <w:spacing w:val="-5"/>
        </w:rPr>
        <w:t xml:space="preserve"> </w:t>
      </w:r>
      <w:hyperlink r:id="rId7" w:history="1">
        <w:r w:rsidR="006E534B" w:rsidRPr="006E534B">
          <w:rPr>
            <w:rStyle w:val="Collegamentoipertestuale"/>
            <w:rFonts w:ascii="Times New Roman" w:hAnsi="Times New Roman"/>
            <w:i/>
            <w:szCs w:val="18"/>
          </w:rPr>
          <w:t>Acquista da VP</w:t>
        </w:r>
      </w:hyperlink>
    </w:p>
    <w:p w14:paraId="26E842CF" w14:textId="77777777" w:rsidR="00845541" w:rsidRPr="00DB33F2" w:rsidRDefault="00845541" w:rsidP="00976295">
      <w:pPr>
        <w:pStyle w:val="Testo1"/>
      </w:pPr>
      <w:r w:rsidRPr="00DB33F2">
        <w:t xml:space="preserve">La frequenza del corso richiede, oltre alla presenza regolare alle lezioni, la partecipazione alle esercitazioni impartite dalla dott.ssa Arianna Visconti e ai seminari orali (v., </w:t>
      </w:r>
      <w:r w:rsidRPr="00DB33F2">
        <w:rPr>
          <w:i/>
        </w:rPr>
        <w:t>infra</w:t>
      </w:r>
      <w:r w:rsidRPr="00DB33F2">
        <w:t>, le Avvertenze) tenuti dagli stessi studenti nell’ultima parte dell’anno accademico.</w:t>
      </w:r>
    </w:p>
    <w:p w14:paraId="3757B8F8" w14:textId="77777777" w:rsidR="00845541" w:rsidRPr="00DB33F2" w:rsidRDefault="00845541" w:rsidP="00976295">
      <w:pPr>
        <w:pStyle w:val="Testo1"/>
        <w:spacing w:before="0"/>
      </w:pPr>
      <w:r w:rsidRPr="00DB33F2">
        <w:t>Per gli studenti che abbiano frequentato il corso assiduamente, il testo indicato servirà soprattutto, oltre che come base per le frequenti discussioni su problemi criminali condotte in aula, per il controllo e l’integrazione degli appunti delle lezioni. Gli studenti non frequentanti dovranno invece servirsene integralmente per l’apprendimento della materia.</w:t>
      </w:r>
    </w:p>
    <w:p w14:paraId="3B5FDDA8" w14:textId="77777777" w:rsidR="00845541" w:rsidRPr="00DB33F2" w:rsidRDefault="00845541" w:rsidP="00976295">
      <w:pPr>
        <w:pStyle w:val="Testo1"/>
        <w:spacing w:before="0"/>
      </w:pPr>
      <w:r w:rsidRPr="00DB33F2">
        <w:t>Durante il corso, che sarà caratterizzato da molteplici rinvii alla teoria generale del reato, a varie fattispecie criminose, nonché alla prassi giurisprudenziale, verranno presentati riferimenti bibliografici per l'approfondimento di aree del programma. Lo studio della materia dovrà comunque essere impostato sulla base di uno stretto coordinamento delle nozioni e dei dati criminologici con le norme e le categorie giuridiche pertinenti. È pertanto vivamente raccomandata, specie agli studenti della Facoltà di Giurisprudenza, la consultazione del manuale di diritto penale, nonché dei codici penale e di procedura penale aggiornati.</w:t>
      </w:r>
    </w:p>
    <w:p w14:paraId="67C74E85" w14:textId="77777777" w:rsidR="00845541" w:rsidRPr="00845541" w:rsidRDefault="00845541" w:rsidP="00845541">
      <w:pPr>
        <w:pStyle w:val="Testo2"/>
        <w:spacing w:before="120"/>
        <w:rPr>
          <w:i/>
        </w:rPr>
      </w:pPr>
      <w:r w:rsidRPr="00845541">
        <w:rPr>
          <w:i/>
        </w:rPr>
        <w:t>Parte speciale</w:t>
      </w:r>
    </w:p>
    <w:p w14:paraId="641C3202" w14:textId="24FEF236" w:rsidR="00845541" w:rsidRPr="00DB33F2" w:rsidRDefault="00845541" w:rsidP="00976295">
      <w:pPr>
        <w:pStyle w:val="Testo1"/>
        <w:spacing w:before="0"/>
      </w:pPr>
      <w:r w:rsidRPr="00DB33F2">
        <w:t>Per la “parte speciale”</w:t>
      </w:r>
      <w:r w:rsidR="006A4CF3">
        <w:t xml:space="preserve"> (prevista solo per gli studenti che abbiano optato per la modalità da 9 CFU)</w:t>
      </w:r>
      <w:r w:rsidRPr="00DB33F2">
        <w:t xml:space="preserve">, gli studenti frequentanti potranno svolgere, su uno dei temi compresi nelle </w:t>
      </w:r>
      <w:r w:rsidRPr="00DB33F2">
        <w:rPr>
          <w:i/>
        </w:rPr>
        <w:t>Reading lists</w:t>
      </w:r>
      <w:r w:rsidRPr="00DB33F2">
        <w:t xml:space="preserve"> messe a disposizione all’inizio dell’anno accademico e definiti con il docente, una ricerca interdisciplinare (penalistico-criminologica), </w:t>
      </w:r>
      <w:r w:rsidR="00F62BE2">
        <w:t xml:space="preserve">i cui risultati potranno esporre </w:t>
      </w:r>
      <w:r w:rsidRPr="00DB33F2">
        <w:lastRenderedPageBreak/>
        <w:t>oral</w:t>
      </w:r>
      <w:r w:rsidR="00F62BE2">
        <w:t>mente alla classe nell’ultima parte del corso</w:t>
      </w:r>
      <w:r w:rsidRPr="00DB33F2">
        <w:t xml:space="preserve">, impostata secondo la metodologia appresa durante il corso (v., </w:t>
      </w:r>
      <w:r w:rsidRPr="00DB33F2">
        <w:rPr>
          <w:i/>
        </w:rPr>
        <w:t>infra</w:t>
      </w:r>
      <w:r w:rsidRPr="00DB33F2">
        <w:t>, le Avvertenze).</w:t>
      </w:r>
    </w:p>
    <w:p w14:paraId="28B773EF" w14:textId="77777777" w:rsidR="00845541" w:rsidRPr="00DB33F2" w:rsidRDefault="00845541" w:rsidP="00976295">
      <w:pPr>
        <w:pStyle w:val="Testo1"/>
        <w:spacing w:before="0"/>
      </w:pPr>
      <w:r w:rsidRPr="00DB33F2">
        <w:t xml:space="preserve">Gli studenti che non abbiano frequentato il corso con regolarità o che non abbiano svolto la ricerca interdisciplinare, ove intendano completare la loro preparazione sulla “parte speciale” e acquisire il relativo credito aggiuntivo (v., </w:t>
      </w:r>
      <w:r w:rsidRPr="00DB33F2">
        <w:rPr>
          <w:i/>
        </w:rPr>
        <w:t>infra</w:t>
      </w:r>
      <w:r w:rsidRPr="00DB33F2">
        <w:t xml:space="preserve">, le Avvertenze), dovranno integrare la loro preparazione scegliendo </w:t>
      </w:r>
      <w:r w:rsidRPr="00DB33F2">
        <w:rPr>
          <w:u w:val="single"/>
        </w:rPr>
        <w:t>uno</w:t>
      </w:r>
      <w:r w:rsidRPr="00DB33F2">
        <w:t xml:space="preserve"> dei seguenti percorsi di studio, da studiare in stretto collegamento con le nozioni di “parte generale”:</w:t>
      </w:r>
    </w:p>
    <w:p w14:paraId="20E75F4F" w14:textId="41E70CC9" w:rsidR="00845541" w:rsidRPr="00DB33F2" w:rsidRDefault="00845541" w:rsidP="00976295">
      <w:pPr>
        <w:pStyle w:val="Testo1"/>
        <w:spacing w:before="0"/>
        <w:rPr>
          <w:spacing w:val="-5"/>
        </w:rPr>
      </w:pPr>
      <w:r w:rsidRPr="00DB33F2">
        <w:t>1.</w:t>
      </w:r>
      <w:r w:rsidRPr="00DB33F2">
        <w:tab/>
      </w:r>
      <w:r w:rsidRPr="00DB33F2">
        <w:rPr>
          <w:smallCaps/>
          <w:spacing w:val="-5"/>
          <w:sz w:val="16"/>
        </w:rPr>
        <w:t xml:space="preserve">G. Forti-C. Mazzucato-A. Visconti </w:t>
      </w:r>
      <w:r w:rsidRPr="003D48F2">
        <w:rPr>
          <w:spacing w:val="-5"/>
        </w:rPr>
        <w:t xml:space="preserve">(a cura di), </w:t>
      </w:r>
      <w:r w:rsidRPr="00DB33F2">
        <w:rPr>
          <w:i/>
          <w:spacing w:val="-5"/>
        </w:rPr>
        <w:t>Giustizia e Letteratura I,</w:t>
      </w:r>
      <w:r w:rsidRPr="00DB33F2">
        <w:rPr>
          <w:spacing w:val="-5"/>
        </w:rPr>
        <w:t xml:space="preserve"> Vita e Pensiero, Milano, 2012 (almeno due parti del volume).</w:t>
      </w:r>
      <w:r w:rsidR="006E534B">
        <w:rPr>
          <w:spacing w:val="-5"/>
        </w:rPr>
        <w:t xml:space="preserve"> </w:t>
      </w:r>
      <w:hyperlink r:id="rId8" w:history="1">
        <w:r w:rsidR="006E534B" w:rsidRPr="006E534B">
          <w:rPr>
            <w:rStyle w:val="Collegamentoipertestuale"/>
            <w:rFonts w:ascii="Times New Roman" w:hAnsi="Times New Roman"/>
            <w:i/>
            <w:szCs w:val="18"/>
          </w:rPr>
          <w:t>Acquista da VP</w:t>
        </w:r>
      </w:hyperlink>
    </w:p>
    <w:p w14:paraId="6740181D" w14:textId="72776576" w:rsidR="00845541" w:rsidRPr="00DB33F2" w:rsidRDefault="00845541" w:rsidP="00976295">
      <w:pPr>
        <w:pStyle w:val="Testo1"/>
        <w:spacing w:before="0"/>
        <w:rPr>
          <w:spacing w:val="-5"/>
        </w:rPr>
      </w:pPr>
      <w:r w:rsidRPr="00DB33F2">
        <w:t>2.</w:t>
      </w:r>
      <w:r w:rsidRPr="00DB33F2">
        <w:tab/>
      </w:r>
      <w:r w:rsidRPr="00DB33F2">
        <w:rPr>
          <w:smallCaps/>
          <w:spacing w:val="-5"/>
          <w:sz w:val="16"/>
        </w:rPr>
        <w:t xml:space="preserve">G. Forti-C. Mazzucato-A. Visconti </w:t>
      </w:r>
      <w:r w:rsidRPr="003D48F2">
        <w:rPr>
          <w:spacing w:val="-5"/>
        </w:rPr>
        <w:t xml:space="preserve">(a cura di), </w:t>
      </w:r>
      <w:r w:rsidRPr="00DB33F2">
        <w:rPr>
          <w:i/>
          <w:spacing w:val="-5"/>
        </w:rPr>
        <w:t>Giustizia e Letteratura II,</w:t>
      </w:r>
      <w:r w:rsidRPr="00DB33F2">
        <w:rPr>
          <w:spacing w:val="-5"/>
        </w:rPr>
        <w:t xml:space="preserve"> Vita e Pensiero, Milano, 2014 (almeno quattro capitoli del volume).</w:t>
      </w:r>
      <w:r w:rsidR="006E534B">
        <w:rPr>
          <w:spacing w:val="-5"/>
        </w:rPr>
        <w:t xml:space="preserve"> </w:t>
      </w:r>
      <w:hyperlink r:id="rId9" w:history="1">
        <w:r w:rsidR="006E534B" w:rsidRPr="006E534B">
          <w:rPr>
            <w:rStyle w:val="Collegamentoipertestuale"/>
            <w:rFonts w:ascii="Times New Roman" w:hAnsi="Times New Roman"/>
            <w:i/>
            <w:szCs w:val="18"/>
          </w:rPr>
          <w:t>Acquista da VP</w:t>
        </w:r>
      </w:hyperlink>
    </w:p>
    <w:p w14:paraId="20E9F624" w14:textId="2722C3A2" w:rsidR="00845541" w:rsidRPr="00DB33F2" w:rsidRDefault="00845541" w:rsidP="00976295">
      <w:pPr>
        <w:pStyle w:val="Testo1"/>
        <w:spacing w:before="0"/>
        <w:rPr>
          <w:spacing w:val="-5"/>
        </w:rPr>
      </w:pPr>
      <w:r w:rsidRPr="00DB33F2">
        <w:t>3.</w:t>
      </w:r>
      <w:r w:rsidRPr="00DB33F2">
        <w:tab/>
      </w:r>
      <w:r w:rsidRPr="00DB33F2">
        <w:rPr>
          <w:smallCaps/>
          <w:spacing w:val="-5"/>
          <w:sz w:val="16"/>
        </w:rPr>
        <w:t xml:space="preserve">G. Forti-C. Mazzucato-A. Visconti </w:t>
      </w:r>
      <w:r w:rsidRPr="003D48F2">
        <w:rPr>
          <w:spacing w:val="-5"/>
        </w:rPr>
        <w:t>(a cura di),</w:t>
      </w:r>
      <w:r w:rsidRPr="00DB33F2">
        <w:rPr>
          <w:i/>
          <w:spacing w:val="-5"/>
        </w:rPr>
        <w:t xml:space="preserve"> Giustizia e Letteratura III,</w:t>
      </w:r>
      <w:r w:rsidRPr="00DB33F2">
        <w:rPr>
          <w:spacing w:val="-5"/>
        </w:rPr>
        <w:t xml:space="preserve"> Vita e Pensiero, Milano, 2016 (almeno quattro la Parte I più due capitoli a scelta).</w:t>
      </w:r>
      <w:r w:rsidR="006E534B">
        <w:rPr>
          <w:spacing w:val="-5"/>
        </w:rPr>
        <w:t xml:space="preserve"> </w:t>
      </w:r>
      <w:hyperlink r:id="rId10" w:history="1">
        <w:r w:rsidR="006E534B" w:rsidRPr="006E534B">
          <w:rPr>
            <w:rStyle w:val="Collegamentoipertestuale"/>
            <w:rFonts w:ascii="Times New Roman" w:hAnsi="Times New Roman"/>
            <w:i/>
            <w:szCs w:val="18"/>
          </w:rPr>
          <w:t>Acquista da VP</w:t>
        </w:r>
      </w:hyperlink>
    </w:p>
    <w:p w14:paraId="4A94823E" w14:textId="623DB732" w:rsidR="00845541" w:rsidRDefault="00845541" w:rsidP="00976295">
      <w:pPr>
        <w:pStyle w:val="Testo1"/>
        <w:spacing w:before="0"/>
      </w:pPr>
      <w:r w:rsidRPr="00DB33F2">
        <w:t>4.</w:t>
      </w:r>
      <w:r w:rsidRPr="00DB33F2">
        <w:rPr>
          <w:smallCaps/>
          <w:sz w:val="16"/>
        </w:rPr>
        <w:t xml:space="preserve"> </w:t>
      </w:r>
      <w:r w:rsidRPr="00DB33F2">
        <w:rPr>
          <w:smallCaps/>
          <w:sz w:val="16"/>
        </w:rPr>
        <w:tab/>
        <w:t xml:space="preserve">G. Forti-A.Provera </w:t>
      </w:r>
      <w:r w:rsidRPr="00DB33F2">
        <w:t xml:space="preserve">(a cura di), </w:t>
      </w:r>
      <w:r w:rsidRPr="00DB33F2">
        <w:rPr>
          <w:i/>
        </w:rPr>
        <w:t>La Grande Guerra. Storie e parole di giustizia,</w:t>
      </w:r>
      <w:r w:rsidRPr="00DB33F2">
        <w:t xml:space="preserve"> Vita e Pensiero, Milano, 2018.</w:t>
      </w:r>
      <w:r w:rsidR="006E534B">
        <w:t xml:space="preserve"> </w:t>
      </w:r>
      <w:hyperlink r:id="rId11" w:history="1">
        <w:r w:rsidR="006E534B" w:rsidRPr="006E534B">
          <w:rPr>
            <w:rStyle w:val="Collegamentoipertestuale"/>
            <w:rFonts w:ascii="Times New Roman" w:hAnsi="Times New Roman"/>
            <w:i/>
            <w:szCs w:val="18"/>
          </w:rPr>
          <w:t>Acquista da VP</w:t>
        </w:r>
      </w:hyperlink>
    </w:p>
    <w:p w14:paraId="3E556315" w14:textId="1535A5FF" w:rsidR="00845541" w:rsidRDefault="00845541" w:rsidP="00976295">
      <w:pPr>
        <w:pStyle w:val="Testo1"/>
        <w:spacing w:before="0"/>
      </w:pPr>
      <w:r>
        <w:t xml:space="preserve">5. </w:t>
      </w:r>
      <w:r w:rsidR="00976295">
        <w:tab/>
      </w:r>
      <w:r w:rsidRPr="00976295">
        <w:rPr>
          <w:sz w:val="16"/>
          <w:szCs w:val="16"/>
        </w:rPr>
        <w:t>G</w:t>
      </w:r>
      <w:r w:rsidRPr="00976295">
        <w:rPr>
          <w:smallCaps/>
          <w:sz w:val="16"/>
          <w:szCs w:val="16"/>
        </w:rPr>
        <w:t>.</w:t>
      </w:r>
      <w:r w:rsidRPr="00DB33F2">
        <w:rPr>
          <w:smallCaps/>
          <w:sz w:val="16"/>
        </w:rPr>
        <w:t xml:space="preserve"> Forti-A.Provera </w:t>
      </w:r>
      <w:r w:rsidRPr="00DB33F2">
        <w:t xml:space="preserve">(a cura di), </w:t>
      </w:r>
      <w:r>
        <w:rPr>
          <w:i/>
        </w:rPr>
        <w:t>Mito e narrazioni della giustizia nel mondo greco</w:t>
      </w:r>
      <w:r w:rsidRPr="00DB33F2">
        <w:rPr>
          <w:i/>
        </w:rPr>
        <w:t>,</w:t>
      </w:r>
      <w:r>
        <w:t xml:space="preserve"> Vita e Pensiero, Milano, 2019</w:t>
      </w:r>
      <w:r w:rsidR="006E534B">
        <w:t xml:space="preserve"> </w:t>
      </w:r>
      <w:hyperlink r:id="rId12" w:history="1">
        <w:r w:rsidR="006E534B" w:rsidRPr="006E534B">
          <w:rPr>
            <w:rStyle w:val="Collegamentoipertestuale"/>
            <w:rFonts w:ascii="Times New Roman" w:hAnsi="Times New Roman"/>
            <w:i/>
            <w:szCs w:val="18"/>
          </w:rPr>
          <w:t>Acquista da VP</w:t>
        </w:r>
      </w:hyperlink>
    </w:p>
    <w:p w14:paraId="6BEDCFF1" w14:textId="051F6C90" w:rsidR="003A470F" w:rsidRDefault="003A470F" w:rsidP="00976295">
      <w:pPr>
        <w:pStyle w:val="Testo1"/>
        <w:spacing w:before="0"/>
        <w:rPr>
          <w:spacing w:val="-5"/>
        </w:rPr>
      </w:pPr>
      <w:r>
        <w:t>6.</w:t>
      </w:r>
      <w:r w:rsidR="00447572" w:rsidRPr="00447572">
        <w:rPr>
          <w:smallCaps/>
          <w:spacing w:val="-5"/>
          <w:sz w:val="16"/>
        </w:rPr>
        <w:t xml:space="preserve"> </w:t>
      </w:r>
      <w:r w:rsidR="00447572" w:rsidRPr="00DB33F2">
        <w:rPr>
          <w:smallCaps/>
          <w:spacing w:val="-5"/>
          <w:sz w:val="16"/>
        </w:rPr>
        <w:t xml:space="preserve">G. Forti. </w:t>
      </w:r>
      <w:r w:rsidR="00C80175">
        <w:rPr>
          <w:smallCaps/>
          <w:spacing w:val="-5"/>
          <w:sz w:val="16"/>
        </w:rPr>
        <w:t xml:space="preserve">C. </w:t>
      </w:r>
      <w:r w:rsidR="00447572" w:rsidRPr="00DB33F2">
        <w:rPr>
          <w:smallCaps/>
          <w:spacing w:val="-5"/>
          <w:sz w:val="16"/>
        </w:rPr>
        <w:t>Mazzucato-</w:t>
      </w:r>
      <w:r w:rsidR="00447572">
        <w:rPr>
          <w:smallCaps/>
          <w:spacing w:val="-5"/>
          <w:sz w:val="16"/>
        </w:rPr>
        <w:t xml:space="preserve">A. Provera- </w:t>
      </w:r>
      <w:r w:rsidR="00447572" w:rsidRPr="00DB33F2">
        <w:rPr>
          <w:smallCaps/>
          <w:spacing w:val="-5"/>
          <w:sz w:val="16"/>
        </w:rPr>
        <w:t xml:space="preserve">A. Visconti </w:t>
      </w:r>
      <w:r w:rsidR="00447572" w:rsidRPr="003D48F2">
        <w:rPr>
          <w:spacing w:val="-5"/>
        </w:rPr>
        <w:t>(a cura di),</w:t>
      </w:r>
      <w:r w:rsidR="004B0FA1">
        <w:rPr>
          <w:spacing w:val="-5"/>
        </w:rPr>
        <w:t xml:space="preserve"> </w:t>
      </w:r>
      <w:r w:rsidR="004B0FA1">
        <w:rPr>
          <w:i/>
          <w:iCs/>
          <w:spacing w:val="-5"/>
        </w:rPr>
        <w:t>L’ombra delle colonne infami</w:t>
      </w:r>
      <w:r w:rsidR="004B0FA1">
        <w:rPr>
          <w:spacing w:val="-5"/>
        </w:rPr>
        <w:t>, Vita e Pensiero, Milano, 2022 (solo il capitolo I e altri due capitoli a scelya)</w:t>
      </w:r>
      <w:r w:rsidR="006E534B">
        <w:rPr>
          <w:spacing w:val="-5"/>
        </w:rPr>
        <w:t xml:space="preserve"> </w:t>
      </w:r>
      <w:hyperlink r:id="rId13" w:history="1">
        <w:r w:rsidR="006E534B" w:rsidRPr="006E534B">
          <w:rPr>
            <w:rStyle w:val="Collegamentoipertestuale"/>
            <w:rFonts w:ascii="Times New Roman" w:hAnsi="Times New Roman"/>
            <w:i/>
            <w:szCs w:val="18"/>
          </w:rPr>
          <w:t>Acquista da VP</w:t>
        </w:r>
      </w:hyperlink>
    </w:p>
    <w:p w14:paraId="46C69C6F" w14:textId="40554363" w:rsidR="00C80175" w:rsidRPr="00C80175" w:rsidRDefault="00363587" w:rsidP="00976295">
      <w:pPr>
        <w:pStyle w:val="Testo1"/>
        <w:spacing w:before="0"/>
        <w:rPr>
          <w:spacing w:val="-5"/>
        </w:rPr>
      </w:pPr>
      <w:r>
        <w:rPr>
          <w:smallCaps/>
          <w:spacing w:val="-5"/>
        </w:rPr>
        <w:t xml:space="preserve">7. </w:t>
      </w:r>
      <w:r w:rsidR="00C80175">
        <w:rPr>
          <w:smallCaps/>
          <w:spacing w:val="-5"/>
        </w:rPr>
        <w:t>A. Cattaneo – G. Forti – A. Visconti</w:t>
      </w:r>
      <w:r w:rsidR="00C80175">
        <w:rPr>
          <w:spacing w:val="-5"/>
        </w:rPr>
        <w:t xml:space="preserve">, </w:t>
      </w:r>
      <w:r w:rsidR="00C80175">
        <w:rPr>
          <w:i/>
          <w:iCs/>
          <w:spacing w:val="-5"/>
        </w:rPr>
        <w:t>Oltre i confini della realtà. La fantascienza e gli universi distopici della giustizia</w:t>
      </w:r>
      <w:r w:rsidR="00C80175">
        <w:rPr>
          <w:spacing w:val="-5"/>
        </w:rPr>
        <w:t>, Via e Pensiero, Milano, 2023</w:t>
      </w:r>
      <w:r w:rsidR="006E534B">
        <w:rPr>
          <w:spacing w:val="-5"/>
        </w:rPr>
        <w:t xml:space="preserve"> </w:t>
      </w:r>
      <w:hyperlink r:id="rId14" w:history="1">
        <w:r w:rsidR="006E534B" w:rsidRPr="006E534B">
          <w:rPr>
            <w:rStyle w:val="Collegamentoipertestuale"/>
            <w:rFonts w:ascii="Times New Roman" w:hAnsi="Times New Roman"/>
            <w:i/>
            <w:szCs w:val="18"/>
          </w:rPr>
          <w:t>Acquista da VP</w:t>
        </w:r>
      </w:hyperlink>
    </w:p>
    <w:p w14:paraId="30B2C3DF" w14:textId="56B9F663" w:rsidR="00845541" w:rsidRDefault="00363587" w:rsidP="00976295">
      <w:pPr>
        <w:pStyle w:val="Testo1"/>
        <w:spacing w:before="0"/>
      </w:pPr>
      <w:r>
        <w:t>8</w:t>
      </w:r>
      <w:r w:rsidR="00F62BE2">
        <w:t>.</w:t>
      </w:r>
      <w:r w:rsidR="00845541" w:rsidRPr="003D48F2">
        <w:tab/>
      </w:r>
      <w:r w:rsidR="00845541" w:rsidRPr="00DB33F2">
        <w:rPr>
          <w:smallCaps/>
          <w:sz w:val="16"/>
        </w:rPr>
        <w:t>A. Ceretti-R. Cornelli,</w:t>
      </w:r>
      <w:r w:rsidR="00845541" w:rsidRPr="00DB33F2">
        <w:rPr>
          <w:i/>
        </w:rPr>
        <w:t xml:space="preserve"> Oltre la paura. Cinque riflessioni su criminalità,</w:t>
      </w:r>
      <w:r w:rsidR="00845541" w:rsidRPr="00DB33F2">
        <w:t xml:space="preserve"> </w:t>
      </w:r>
      <w:r w:rsidR="00845541" w:rsidRPr="005D672C">
        <w:rPr>
          <w:i/>
        </w:rPr>
        <w:t>società e politica,</w:t>
      </w:r>
      <w:r w:rsidR="00845541" w:rsidRPr="00DB33F2">
        <w:t xml:space="preserve"> Feltrinelli, Milano, 2013.</w:t>
      </w:r>
      <w:r w:rsidR="006E534B">
        <w:t xml:space="preserve"> </w:t>
      </w:r>
      <w:hyperlink r:id="rId15" w:history="1">
        <w:r w:rsidR="006E534B" w:rsidRPr="006E534B">
          <w:rPr>
            <w:rStyle w:val="Collegamentoipertestuale"/>
            <w:rFonts w:ascii="Times New Roman" w:hAnsi="Times New Roman"/>
            <w:i/>
            <w:szCs w:val="18"/>
          </w:rPr>
          <w:t>Acquista da VP</w:t>
        </w:r>
      </w:hyperlink>
    </w:p>
    <w:p w14:paraId="163A3F06" w14:textId="3BB2272E" w:rsidR="008846E8" w:rsidRDefault="00363587" w:rsidP="008846E8">
      <w:pPr>
        <w:pStyle w:val="Testo1"/>
        <w:spacing w:before="0"/>
      </w:pPr>
      <w:r>
        <w:t>9</w:t>
      </w:r>
      <w:r w:rsidR="00845541">
        <w:t>. G</w:t>
      </w:r>
      <w:r w:rsidR="00845541" w:rsidRPr="005D672C">
        <w:rPr>
          <w:smallCaps/>
          <w:sz w:val="16"/>
        </w:rPr>
        <w:t>. Forti</w:t>
      </w:r>
      <w:r w:rsidR="00845541">
        <w:t xml:space="preserve">, </w:t>
      </w:r>
      <w:r w:rsidR="00845541" w:rsidRPr="005D672C">
        <w:rPr>
          <w:i/>
        </w:rPr>
        <w:t>La cura delle norme. Oltre la corruzione delle regole e dei saperi</w:t>
      </w:r>
      <w:r w:rsidR="00845541">
        <w:t xml:space="preserve">, </w:t>
      </w:r>
      <w:r w:rsidR="00845541" w:rsidRPr="005D672C">
        <w:t>Vita e pensiero, Milano, 2018</w:t>
      </w:r>
      <w:r w:rsidR="006E534B">
        <w:t xml:space="preserve"> </w:t>
      </w:r>
      <w:hyperlink r:id="rId16" w:history="1">
        <w:r w:rsidR="006E534B" w:rsidRPr="006E534B">
          <w:rPr>
            <w:rStyle w:val="Collegamentoipertestuale"/>
            <w:rFonts w:ascii="Times New Roman" w:hAnsi="Times New Roman"/>
            <w:i/>
            <w:szCs w:val="18"/>
          </w:rPr>
          <w:t>Acquista da VP</w:t>
        </w:r>
      </w:hyperlink>
    </w:p>
    <w:p w14:paraId="431BC046" w14:textId="27BF5EC4" w:rsidR="00C80175" w:rsidRPr="00C80175" w:rsidRDefault="00363587" w:rsidP="008846E8">
      <w:pPr>
        <w:pStyle w:val="Testo1"/>
        <w:spacing w:before="0"/>
      </w:pPr>
      <w:r>
        <w:rPr>
          <w:smallCaps/>
        </w:rPr>
        <w:t xml:space="preserve">10. </w:t>
      </w:r>
      <w:r w:rsidR="00C80175">
        <w:rPr>
          <w:smallCaps/>
        </w:rPr>
        <w:t>G. Forti -  S. Petrosino</w:t>
      </w:r>
      <w:r w:rsidR="00C80175">
        <w:t xml:space="preserve">, </w:t>
      </w:r>
      <w:r w:rsidR="00C80175">
        <w:rPr>
          <w:i/>
          <w:iCs/>
        </w:rPr>
        <w:t>Logiche follie, Sacrifici umani e illusioni della giustizia</w:t>
      </w:r>
      <w:r w:rsidR="00C80175">
        <w:t>, Vita e Pensiero, Milano, 202</w:t>
      </w:r>
      <w:r>
        <w:t>2</w:t>
      </w:r>
      <w:r w:rsidR="006E534B">
        <w:t xml:space="preserve"> </w:t>
      </w:r>
      <w:hyperlink r:id="rId17" w:history="1">
        <w:r w:rsidR="006E534B" w:rsidRPr="006E534B">
          <w:rPr>
            <w:rStyle w:val="Collegamentoipertestuale"/>
            <w:rFonts w:ascii="Times New Roman" w:hAnsi="Times New Roman"/>
            <w:i/>
            <w:szCs w:val="18"/>
          </w:rPr>
          <w:t>Acquista da VP</w:t>
        </w:r>
      </w:hyperlink>
    </w:p>
    <w:p w14:paraId="398B222D" w14:textId="77777777" w:rsidR="00845541" w:rsidRDefault="00845541" w:rsidP="00845541">
      <w:pPr>
        <w:spacing w:before="240" w:after="120" w:line="220" w:lineRule="exact"/>
        <w:rPr>
          <w:b/>
          <w:i/>
          <w:sz w:val="18"/>
        </w:rPr>
      </w:pPr>
      <w:r>
        <w:rPr>
          <w:b/>
          <w:i/>
          <w:sz w:val="18"/>
        </w:rPr>
        <w:t>DIDATTICA DEL CORSO</w:t>
      </w:r>
    </w:p>
    <w:p w14:paraId="29AAF20A" w14:textId="06C7D784" w:rsidR="00845541" w:rsidRPr="00DB33F2" w:rsidRDefault="00845541" w:rsidP="00845541">
      <w:pPr>
        <w:pStyle w:val="Testo2"/>
      </w:pPr>
      <w:r w:rsidRPr="00DB33F2">
        <w:t>La didattica del corso prevede, oltre alle lezioni</w:t>
      </w:r>
      <w:r w:rsidR="006A4CF3">
        <w:t xml:space="preserve"> multimediali </w:t>
      </w:r>
      <w:r w:rsidRPr="00DB33F2">
        <w:t xml:space="preserve"> in aula </w:t>
      </w:r>
      <w:r w:rsidR="001D4302">
        <w:t>(o, e</w:t>
      </w:r>
      <w:r w:rsidR="006A4CF3">
        <w:t>ven</w:t>
      </w:r>
      <w:r w:rsidR="001D4302">
        <w:t>tualmente, a distanza</w:t>
      </w:r>
      <w:r w:rsidR="006A4CF3">
        <w:t xml:space="preserve"> con l’uso di tecnolofgie avanzate) </w:t>
      </w:r>
      <w:r w:rsidRPr="00DB33F2">
        <w:t>dedicate alla presentazione della parte generale, seminari facoltativi, individuali o di gruppo, aventi a oggetto problemi criminologici di “parte speciale”, nonché incontri con esperti di problematiche criminologiche, penalistiche e penitenziarie. Nell’ultima parte dell’anno accademico saranno organizzate esercitazioni di approfondimento riguardanti soprattutto temi di criminalità organizzativa e economica.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anche nell’a.a. 20</w:t>
      </w:r>
      <w:r w:rsidR="00363587">
        <w:t>23</w:t>
      </w:r>
      <w:r w:rsidRPr="00DB33F2">
        <w:t>-</w:t>
      </w:r>
      <w:r w:rsidR="00363587">
        <w:t>24</w:t>
      </w:r>
      <w:r w:rsidRPr="00DB33F2">
        <w:t>, del ciclo seminariale su “Giustizia e Letteratura” (</w:t>
      </w:r>
      <w:r w:rsidRPr="00DB33F2">
        <w:rPr>
          <w:i/>
        </w:rPr>
        <w:t>Law and Literature</w:t>
      </w:r>
      <w:r w:rsidRPr="00DB33F2">
        <w:t>).</w:t>
      </w:r>
    </w:p>
    <w:p w14:paraId="1E142D5F" w14:textId="77777777" w:rsidR="00845541" w:rsidRDefault="00845541" w:rsidP="00845541">
      <w:pPr>
        <w:spacing w:before="240" w:after="120" w:line="220" w:lineRule="exact"/>
        <w:rPr>
          <w:b/>
          <w:i/>
          <w:sz w:val="18"/>
        </w:rPr>
      </w:pPr>
      <w:r>
        <w:rPr>
          <w:b/>
          <w:i/>
          <w:sz w:val="18"/>
        </w:rPr>
        <w:t>METODO E CRITERI DI VALUTAZIONE</w:t>
      </w:r>
    </w:p>
    <w:p w14:paraId="071D50C9" w14:textId="35659F91" w:rsidR="00845541" w:rsidRPr="002D67B8" w:rsidRDefault="00845541" w:rsidP="00845541">
      <w:pPr>
        <w:pStyle w:val="Testo2"/>
      </w:pPr>
      <w:r w:rsidRPr="00DB33F2">
        <w:lastRenderedPageBreak/>
        <w:t xml:space="preserve">La valutazione della preparazione avverrà attraverso un esame orale al termine dell’anno accademico, nel quale si terrà conto degli esiti della ricerca interdisciplinare, </w:t>
      </w:r>
      <w:r w:rsidR="00363587">
        <w:t xml:space="preserve">esposta oralmente durante il corso, </w:t>
      </w:r>
      <w:r w:rsidRPr="00DB33F2">
        <w:t xml:space="preserve">dagli studenti che abbiano frequentato il corso con regolarità e abbiano optato per questa modalità di studio della “parte speciale” (v. </w:t>
      </w:r>
      <w:r w:rsidRPr="00DB33F2">
        <w:rPr>
          <w:i/>
        </w:rPr>
        <w:t>Avvertenze</w:t>
      </w:r>
      <w:r w:rsidRPr="00DB33F2">
        <w:t xml:space="preserve"> qui di seguito).</w:t>
      </w:r>
      <w:r>
        <w:t xml:space="preserve"> Lo studente perverrà a una votazione di esame da sufficiente a discreta dimostrando adeguata padronanza delle nozioni fondamentali e capacità di collegamento tra i diversi ambiti teorici della criminologia, nonché tra questi e i principi di rilevanza penale e dpolitico-criminale.. Una valutazione </w:t>
      </w:r>
      <w:r w:rsidR="007203D5">
        <w:t xml:space="preserve">da buona a </w:t>
      </w:r>
      <w:r>
        <w:t xml:space="preserve"> </w:t>
      </w:r>
      <w:r w:rsidR="007203D5">
        <w:t>eccellente</w:t>
      </w:r>
      <w:r>
        <w:t xml:space="preserve"> sarà riservata agli studenti che, oltre che per una più apporfondita conoscenza della materia, segnalino particolare proprietà di linguaggio, precisione di riferimenti normativ</w:t>
      </w:r>
      <w:r w:rsidR="007203D5">
        <w:t>i,</w:t>
      </w:r>
      <w:r>
        <w:t xml:space="preserve"> senso critico</w:t>
      </w:r>
      <w:r w:rsidR="007203D5">
        <w:t xml:space="preserve"> e sensibilità interdisciplinare </w:t>
      </w:r>
      <w:r>
        <w:t>. Sarà dato altresì rilievo</w:t>
      </w:r>
      <w:r w:rsidR="007203D5">
        <w:t xml:space="preserve"> nella valutazione </w:t>
      </w:r>
      <w:r>
        <w:t xml:space="preserve"> allo svolgimento con esito positivo di ricerche di approfondimento sulla “parte speciale” del corso</w:t>
      </w:r>
      <w:r w:rsidR="007203D5">
        <w:t xml:space="preserve"> nel caso in cui gli studenti abbiano optato per questa integrazione del programma.</w:t>
      </w:r>
    </w:p>
    <w:p w14:paraId="0AB0D623" w14:textId="77777777" w:rsidR="00845541" w:rsidRDefault="00845541" w:rsidP="00845541">
      <w:pPr>
        <w:spacing w:before="240" w:after="120"/>
        <w:rPr>
          <w:b/>
          <w:i/>
          <w:sz w:val="18"/>
        </w:rPr>
      </w:pPr>
      <w:r>
        <w:rPr>
          <w:b/>
          <w:i/>
          <w:sz w:val="18"/>
        </w:rPr>
        <w:t>AVVERTENZE E PREREQUISITI</w:t>
      </w:r>
    </w:p>
    <w:p w14:paraId="3D13A926" w14:textId="15460AA2" w:rsidR="00845541" w:rsidRPr="00DB33F2" w:rsidRDefault="00845541" w:rsidP="00845541">
      <w:pPr>
        <w:tabs>
          <w:tab w:val="clear" w:pos="284"/>
        </w:tabs>
        <w:spacing w:line="220" w:lineRule="exact"/>
        <w:ind w:firstLine="284"/>
        <w:rPr>
          <w:rFonts w:ascii="Times" w:hAnsi="Times"/>
          <w:noProof/>
          <w:sz w:val="18"/>
          <w:szCs w:val="20"/>
        </w:rPr>
      </w:pPr>
      <w:r w:rsidRPr="00DB33F2">
        <w:rPr>
          <w:rFonts w:ascii="Times" w:hAnsi="Times"/>
          <w:noProof/>
          <w:sz w:val="18"/>
          <w:szCs w:val="20"/>
        </w:rPr>
        <w:t xml:space="preserve">L’esame di Criminologia comporta il riconoscimento di 8 CFU qualora lo studente abbia condotto la sua preparazione sul solo programma di parte generale, e di 9 CFU ove abbia seguito uno a scelta tra i percorsi qui indicati: a) svolgimento, con esito positivo, di una ricerca seminariale </w:t>
      </w:r>
      <w:r w:rsidR="00363587">
        <w:rPr>
          <w:rFonts w:ascii="Times" w:hAnsi="Times"/>
          <w:noProof/>
          <w:sz w:val="18"/>
          <w:szCs w:val="20"/>
        </w:rPr>
        <w:t xml:space="preserve">esposta </w:t>
      </w:r>
      <w:r w:rsidRPr="00DB33F2">
        <w:rPr>
          <w:rFonts w:ascii="Times" w:hAnsi="Times"/>
          <w:noProof/>
          <w:sz w:val="18"/>
          <w:szCs w:val="20"/>
        </w:rPr>
        <w:t>oral</w:t>
      </w:r>
      <w:r w:rsidR="00363587">
        <w:rPr>
          <w:rFonts w:ascii="Times" w:hAnsi="Times"/>
          <w:noProof/>
          <w:sz w:val="18"/>
          <w:szCs w:val="20"/>
        </w:rPr>
        <w:t>mente alla classe</w:t>
      </w:r>
      <w:r w:rsidRPr="00DB33F2">
        <w:rPr>
          <w:rFonts w:ascii="Times" w:hAnsi="Times"/>
          <w:noProof/>
          <w:sz w:val="18"/>
          <w:szCs w:val="20"/>
        </w:rPr>
        <w:t>; b) integrazione dello studio con almeno uno dei testi di parte speciale indicati sopra e superamento dell’esame anche su questa parte. Per gli studenti del vecchio ordinamento didattico (laurea quadriennale in Giurisprudenza) lo studio dei testi integrativi di “parte speciale” è comunque obbligatorio, così come per coloro che abbiano scelto nel piano di studi dell’ultimo biennio il profilo “penalistico-criminologico”.</w:t>
      </w:r>
    </w:p>
    <w:p w14:paraId="364CE5A1" w14:textId="2BDF665F" w:rsidR="00845541" w:rsidRPr="00DB33F2" w:rsidRDefault="00845541" w:rsidP="00845541">
      <w:pPr>
        <w:tabs>
          <w:tab w:val="clear" w:pos="284"/>
        </w:tabs>
        <w:spacing w:before="120" w:line="220" w:lineRule="exact"/>
        <w:ind w:firstLine="284"/>
        <w:rPr>
          <w:rFonts w:ascii="Times" w:hAnsi="Times"/>
          <w:noProof/>
          <w:sz w:val="18"/>
          <w:szCs w:val="20"/>
        </w:rPr>
      </w:pPr>
      <w:r w:rsidRPr="00DB33F2">
        <w:rPr>
          <w:rFonts w:ascii="Times" w:hAnsi="Times"/>
          <w:noProof/>
          <w:sz w:val="18"/>
          <w:szCs w:val="20"/>
        </w:rPr>
        <w:t xml:space="preserve">Per la preparazione dell'esame è utile </w:t>
      </w:r>
      <w:r w:rsidR="00363587">
        <w:rPr>
          <w:rFonts w:ascii="Times" w:hAnsi="Times"/>
          <w:noProof/>
          <w:sz w:val="18"/>
          <w:szCs w:val="20"/>
        </w:rPr>
        <w:t>, ma non indispensabile,</w:t>
      </w:r>
      <w:r w:rsidRPr="00DB33F2">
        <w:rPr>
          <w:rFonts w:ascii="Times" w:hAnsi="Times"/>
          <w:noProof/>
          <w:sz w:val="18"/>
          <w:szCs w:val="20"/>
        </w:rPr>
        <w:t>la conoscenza delle nozioni fondamentali del diritto penale. La tesi di laurea in Criminologia verrà assegnata ai soli studenti che abbiano frequentato integralmente il corso, abbiano sostenuto il relativo esame</w:t>
      </w:r>
      <w:r w:rsidR="00363587">
        <w:rPr>
          <w:rFonts w:ascii="Times" w:hAnsi="Times"/>
          <w:noProof/>
          <w:sz w:val="18"/>
          <w:szCs w:val="20"/>
        </w:rPr>
        <w:t xml:space="preserve"> nella modalità da 9 CFU, </w:t>
      </w:r>
      <w:r w:rsidRPr="00DB33F2">
        <w:rPr>
          <w:rFonts w:ascii="Times" w:hAnsi="Times"/>
          <w:noProof/>
          <w:sz w:val="18"/>
          <w:szCs w:val="20"/>
        </w:rPr>
        <w:t xml:space="preserve"> con una votazione non inferiore a 27 e dispongano di una buona conoscenza della lingua inglese o tedesca.</w:t>
      </w:r>
    </w:p>
    <w:p w14:paraId="3F122EA0" w14:textId="77777777" w:rsidR="00845541" w:rsidRPr="002D67B8" w:rsidRDefault="00845541" w:rsidP="00845541">
      <w:pPr>
        <w:tabs>
          <w:tab w:val="clear" w:pos="284"/>
        </w:tabs>
        <w:spacing w:before="120" w:line="220" w:lineRule="exact"/>
        <w:ind w:firstLine="284"/>
        <w:rPr>
          <w:rFonts w:ascii="Times" w:hAnsi="Times"/>
          <w:i/>
          <w:noProof/>
          <w:sz w:val="18"/>
          <w:szCs w:val="20"/>
        </w:rPr>
      </w:pPr>
      <w:r w:rsidRPr="002D67B8">
        <w:rPr>
          <w:rFonts w:ascii="Times" w:hAnsi="Times"/>
          <w:i/>
          <w:noProof/>
          <w:sz w:val="18"/>
          <w:szCs w:val="20"/>
        </w:rPr>
        <w:t xml:space="preserve">Orario e luogo di ricevimento </w:t>
      </w:r>
    </w:p>
    <w:p w14:paraId="4BDFB539" w14:textId="54CB34CB" w:rsidR="008846E8" w:rsidRDefault="008846E8" w:rsidP="008846E8">
      <w:pPr>
        <w:pStyle w:val="Testo2"/>
        <w:ind w:firstLine="0"/>
        <w:rPr>
          <w:rFonts w:ascii="Times New Roman" w:hAnsi="Times New Roman"/>
          <w:szCs w:val="18"/>
        </w:rPr>
      </w:pPr>
      <w:r w:rsidRPr="00CC2E71">
        <w:rPr>
          <w:rFonts w:ascii="Times New Roman" w:hAnsi="Times New Roman"/>
          <w:szCs w:val="18"/>
        </w:rPr>
        <w:t xml:space="preserve"> Il Prof. Gabrio Forti riceve gli studenti </w:t>
      </w:r>
      <w:r w:rsidR="00363587">
        <w:rPr>
          <w:rFonts w:ascii="Times New Roman" w:hAnsi="Times New Roman"/>
          <w:szCs w:val="18"/>
        </w:rPr>
        <w:t xml:space="preserve">al termine delle lezioni e </w:t>
      </w:r>
      <w:r w:rsidRPr="00CC2E71">
        <w:rPr>
          <w:rFonts w:ascii="Times New Roman" w:hAnsi="Times New Roman"/>
          <w:szCs w:val="18"/>
        </w:rPr>
        <w:t xml:space="preserve"> presso il Dipartimento di Scienze Giuridiche (stanza 408) nell’orario che verrà indicato</w:t>
      </w:r>
      <w:r w:rsidR="00363587">
        <w:rPr>
          <w:rFonts w:ascii="Times New Roman" w:hAnsi="Times New Roman"/>
          <w:szCs w:val="18"/>
        </w:rPr>
        <w:t xml:space="preserve"> all’inizio dell’anno accademico</w:t>
      </w:r>
      <w:r w:rsidRPr="00CC2E71">
        <w:rPr>
          <w:rFonts w:ascii="Times New Roman" w:hAnsi="Times New Roman"/>
          <w:szCs w:val="18"/>
        </w:rPr>
        <w:t xml:space="preserve">. Ogni studente è invitato a fare riferimento per comunicazioni e aggiornamenti generali alla piattaforma </w:t>
      </w:r>
      <w:r w:rsidRPr="00CC2E71">
        <w:rPr>
          <w:rFonts w:ascii="Times New Roman" w:hAnsi="Times New Roman"/>
          <w:i/>
          <w:iCs/>
          <w:szCs w:val="18"/>
        </w:rPr>
        <w:t>Blackboard</w:t>
      </w:r>
      <w:r w:rsidRPr="00CC2E71">
        <w:rPr>
          <w:rFonts w:ascii="Times New Roman" w:hAnsi="Times New Roman"/>
          <w:szCs w:val="18"/>
        </w:rPr>
        <w:t xml:space="preserve">. Gli assistenti di cattedra </w:t>
      </w:r>
      <w:r w:rsidR="004B0FA1">
        <w:rPr>
          <w:rFonts w:ascii="Times New Roman" w:hAnsi="Times New Roman"/>
          <w:szCs w:val="18"/>
        </w:rPr>
        <w:t xml:space="preserve">ricevono gli studenti </w:t>
      </w:r>
      <w:r w:rsidRPr="00CC2E71">
        <w:rPr>
          <w:rFonts w:ascii="Times New Roman" w:hAnsi="Times New Roman"/>
          <w:szCs w:val="18"/>
        </w:rPr>
        <w:t xml:space="preserve">negli orari </w:t>
      </w:r>
      <w:r w:rsidR="004B0FA1">
        <w:rPr>
          <w:rFonts w:ascii="Times New Roman" w:hAnsi="Times New Roman"/>
          <w:szCs w:val="18"/>
        </w:rPr>
        <w:t xml:space="preserve">e sedi </w:t>
      </w:r>
      <w:r w:rsidRPr="00CC2E71">
        <w:rPr>
          <w:rFonts w:ascii="Times New Roman" w:hAnsi="Times New Roman"/>
          <w:szCs w:val="18"/>
        </w:rPr>
        <w:t xml:space="preserve">che saranno pubblicati sulla pagina </w:t>
      </w:r>
      <w:r w:rsidRPr="00CC2E71">
        <w:rPr>
          <w:rFonts w:ascii="Times New Roman" w:hAnsi="Times New Roman"/>
          <w:i/>
          <w:szCs w:val="18"/>
        </w:rPr>
        <w:t>web</w:t>
      </w:r>
      <w:r w:rsidRPr="00CC2E71">
        <w:rPr>
          <w:rFonts w:ascii="Times New Roman" w:hAnsi="Times New Roman"/>
          <w:szCs w:val="18"/>
        </w:rPr>
        <w:t xml:space="preserve"> del docente e affissi presso il Dipartimento di Scienze Giuridiche all’inizio dell’anno accademico</w:t>
      </w:r>
    </w:p>
    <w:sectPr w:rsidR="008846E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B8EE" w14:textId="77777777" w:rsidR="006E534B" w:rsidRDefault="006E534B" w:rsidP="006E534B">
      <w:pPr>
        <w:spacing w:line="240" w:lineRule="auto"/>
      </w:pPr>
      <w:r>
        <w:separator/>
      </w:r>
    </w:p>
  </w:endnote>
  <w:endnote w:type="continuationSeparator" w:id="0">
    <w:p w14:paraId="01B37069" w14:textId="77777777" w:rsidR="006E534B" w:rsidRDefault="006E534B" w:rsidP="006E5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07E8" w14:textId="77777777" w:rsidR="006E534B" w:rsidRDefault="006E534B" w:rsidP="006E534B">
      <w:pPr>
        <w:spacing w:line="240" w:lineRule="auto"/>
      </w:pPr>
      <w:r>
        <w:separator/>
      </w:r>
    </w:p>
  </w:footnote>
  <w:footnote w:type="continuationSeparator" w:id="0">
    <w:p w14:paraId="6BE63427" w14:textId="77777777" w:rsidR="006E534B" w:rsidRDefault="006E534B" w:rsidP="006E534B">
      <w:pPr>
        <w:spacing w:line="240" w:lineRule="auto"/>
      </w:pPr>
      <w:r>
        <w:continuationSeparator/>
      </w:r>
    </w:p>
  </w:footnote>
  <w:footnote w:id="1">
    <w:p w14:paraId="50F94534" w14:textId="6934CD5E" w:rsidR="006E534B" w:rsidRDefault="006E534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0B"/>
    <w:rsid w:val="00126CDC"/>
    <w:rsid w:val="00137BE6"/>
    <w:rsid w:val="00187B99"/>
    <w:rsid w:val="001D4302"/>
    <w:rsid w:val="002014DD"/>
    <w:rsid w:val="002D5E17"/>
    <w:rsid w:val="00363587"/>
    <w:rsid w:val="003A470F"/>
    <w:rsid w:val="00447572"/>
    <w:rsid w:val="004A61E2"/>
    <w:rsid w:val="004B0FA1"/>
    <w:rsid w:val="004D1217"/>
    <w:rsid w:val="004D6008"/>
    <w:rsid w:val="00551F8D"/>
    <w:rsid w:val="0059468D"/>
    <w:rsid w:val="00640794"/>
    <w:rsid w:val="006A4CF3"/>
    <w:rsid w:val="006E534B"/>
    <w:rsid w:val="006F1772"/>
    <w:rsid w:val="007203D5"/>
    <w:rsid w:val="00845541"/>
    <w:rsid w:val="008846E8"/>
    <w:rsid w:val="008942E7"/>
    <w:rsid w:val="008A1204"/>
    <w:rsid w:val="00900CCA"/>
    <w:rsid w:val="00924B77"/>
    <w:rsid w:val="00940DA2"/>
    <w:rsid w:val="00976295"/>
    <w:rsid w:val="009E055C"/>
    <w:rsid w:val="00A74F6F"/>
    <w:rsid w:val="00A81BDB"/>
    <w:rsid w:val="00AD7557"/>
    <w:rsid w:val="00B50C5D"/>
    <w:rsid w:val="00B51253"/>
    <w:rsid w:val="00B525CC"/>
    <w:rsid w:val="00B57AA0"/>
    <w:rsid w:val="00C80175"/>
    <w:rsid w:val="00D404F2"/>
    <w:rsid w:val="00D471D8"/>
    <w:rsid w:val="00E607E6"/>
    <w:rsid w:val="00E8370B"/>
    <w:rsid w:val="00F62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B7D29"/>
  <w15:chartTrackingRefBased/>
  <w15:docId w15:val="{7298D7F2-CE12-4B9A-BC99-04D761D8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4554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E534B"/>
    <w:pPr>
      <w:spacing w:line="240" w:lineRule="auto"/>
    </w:pPr>
    <w:rPr>
      <w:szCs w:val="20"/>
    </w:rPr>
  </w:style>
  <w:style w:type="character" w:customStyle="1" w:styleId="TestonotaapidipaginaCarattere">
    <w:name w:val="Testo nota a piè di pagina Carattere"/>
    <w:basedOn w:val="Carpredefinitoparagrafo"/>
    <w:link w:val="Testonotaapidipagina"/>
    <w:rsid w:val="006E534B"/>
  </w:style>
  <w:style w:type="character" w:styleId="Rimandonotaapidipagina">
    <w:name w:val="footnote reference"/>
    <w:basedOn w:val="Carpredefinitoparagrafo"/>
    <w:rsid w:val="006E534B"/>
    <w:rPr>
      <w:vertAlign w:val="superscript"/>
    </w:rPr>
  </w:style>
  <w:style w:type="character" w:styleId="Collegamentoipertestuale">
    <w:name w:val="Hyperlink"/>
    <w:basedOn w:val="Carpredefinitoparagrafo"/>
    <w:rsid w:val="006E534B"/>
    <w:rPr>
      <w:color w:val="0563C1" w:themeColor="hyperlink"/>
      <w:u w:val="single"/>
    </w:rPr>
  </w:style>
  <w:style w:type="character" w:styleId="Menzionenonrisolta">
    <w:name w:val="Unresolved Mention"/>
    <w:basedOn w:val="Carpredefinitoparagrafo"/>
    <w:uiPriority w:val="99"/>
    <w:semiHidden/>
    <w:unhideWhenUsed/>
    <w:rsid w:val="006E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giustizia-e-letteratura-i-9788834322833-142223.html" TargetMode="External"/><Relationship Id="rId13" Type="http://schemas.openxmlformats.org/officeDocument/2006/relationships/hyperlink" Target="https://librerie.unicatt.it/scheda-libro/autori-vari/lombra-delle-colonne-infami-la-letteratura-e-lingiustizia-del-capro-espiatorio-9788834348338-70932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forti-gabrio/limmane-concretezza-9788870786248-175781.html" TargetMode="External"/><Relationship Id="rId12" Type="http://schemas.openxmlformats.org/officeDocument/2006/relationships/hyperlink" Target="https://librerie.unicatt.it/scheda-libro/autori-vari/mito-e-narrazioni-della-giustizia-nel-mondo-greco-9788834337981-559942.html" TargetMode="External"/><Relationship Id="rId17" Type="http://schemas.openxmlformats.org/officeDocument/2006/relationships/hyperlink" Target="https://librerie.unicatt.it/scheda-libro/silvano-petrosino-gabrio-forti/logiche-follie-sacrifici-umani-e-illusioni-della-giustizia-9788834352281-711124.html" TargetMode="External"/><Relationship Id="rId2" Type="http://schemas.openxmlformats.org/officeDocument/2006/relationships/styles" Target="styles.xml"/><Relationship Id="rId16" Type="http://schemas.openxmlformats.org/officeDocument/2006/relationships/hyperlink" Target="https://librerie.unicatt.it/scheda-libro/gabrio-forti/la-cura-delle-norme-oltre-la-corruzione-delle-regole-e-dei-saperi-9788834335475-554178.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autori-vari/la-grande-guerra-storia-e-parole-di-giustizia-9788834334393-528484.html" TargetMode="External"/><Relationship Id="rId5" Type="http://schemas.openxmlformats.org/officeDocument/2006/relationships/footnotes" Target="footnotes.xml"/><Relationship Id="rId15" Type="http://schemas.openxmlformats.org/officeDocument/2006/relationships/hyperlink" Target="https://librerie.unicatt.it/scheda-libro/ceretti-adolfo-cornelli-roberto/oltre-la-paura-9788807104923-182114.html" TargetMode="External"/><Relationship Id="rId10" Type="http://schemas.openxmlformats.org/officeDocument/2006/relationships/hyperlink" Target="https://librerie.unicatt.it/scheda-libro/autori-vari/giustizia-e-letteratura-9788834331194-23517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erie.unicatt.it/scheda-libro/autori-vari/giustizia-e-letteratura-9788834326794-210914.html" TargetMode="External"/><Relationship Id="rId14" Type="http://schemas.openxmlformats.org/officeDocument/2006/relationships/hyperlink" Target="https://librerie.unicatt.it/scheda-libro/forti-cattaneo-visco/oltre-i-confini-della-realta-9788834352861-7139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761C-EA4A-481C-93D1-41FAFB57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1569</Words>
  <Characters>11182</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2023-05-02T07:28:00Z</dcterms:created>
  <dcterms:modified xsi:type="dcterms:W3CDTF">2023-06-23T09:03:00Z</dcterms:modified>
</cp:coreProperties>
</file>