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1EB3" w14:textId="77777777" w:rsidR="005D533D" w:rsidRDefault="005D533D" w:rsidP="005D533D">
      <w:pPr>
        <w:pStyle w:val="Titolo1"/>
        <w:ind w:left="0" w:firstLine="0"/>
      </w:pPr>
      <w:r>
        <w:t>Elementi di diritto civile</w:t>
      </w:r>
    </w:p>
    <w:p w14:paraId="6CD2A765" w14:textId="77777777" w:rsidR="002D5E17" w:rsidRDefault="005D533D" w:rsidP="005D533D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Antonio Albanese</w:t>
      </w:r>
      <w:r w:rsidR="00084EC0">
        <w:t xml:space="preserve"> – Prof.ssa Laura Guffanti</w:t>
      </w:r>
      <w:r w:rsidR="009949B7">
        <w:t xml:space="preserve"> </w:t>
      </w:r>
      <w:r w:rsidR="009949B7" w:rsidRPr="009949B7">
        <w:rPr>
          <w:color w:val="000000" w:themeColor="text1"/>
        </w:rPr>
        <w:t>Pesenti</w:t>
      </w:r>
    </w:p>
    <w:p w14:paraId="686CBCE2" w14:textId="69709B9F" w:rsidR="005D533D" w:rsidRDefault="005D533D" w:rsidP="005D53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F94F61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2E971939" w14:textId="77777777" w:rsidR="005D533D" w:rsidRDefault="00AA28CA" w:rsidP="0085760C">
      <w:pPr>
        <w:spacing w:line="240" w:lineRule="exact"/>
      </w:pPr>
      <w:r>
        <w:t>Il corso intende f</w:t>
      </w:r>
      <w:r w:rsidR="005D533D" w:rsidRPr="008B2699">
        <w:t xml:space="preserve">ornire nelle materie oggetto di trattazione le conoscenze, anche metodologiche, necessarie per l’esame critico dei problemi interpretativi riguardanti la disciplina dei rapporti obbligatori nonché delle soluzioni offerte dalla giurisprudenza e dalla dottrina. </w:t>
      </w:r>
    </w:p>
    <w:p w14:paraId="75AF617E" w14:textId="77777777" w:rsidR="005D533D" w:rsidRPr="00E24F7A" w:rsidRDefault="005D533D" w:rsidP="0085760C">
      <w:pPr>
        <w:suppressAutoHyphens/>
        <w:spacing w:line="240" w:lineRule="exact"/>
        <w:rPr>
          <w:rFonts w:ascii="Times" w:hAnsi="Times" w:cs="Times"/>
          <w:szCs w:val="20"/>
        </w:rPr>
      </w:pPr>
      <w:r w:rsidRPr="00E24F7A">
        <w:rPr>
          <w:rFonts w:ascii="Times" w:hAnsi="Times" w:cs="Times"/>
          <w:szCs w:val="20"/>
        </w:rPr>
        <w:t>Al termine dell’insegnamento sono attesi i seguenti risultati di apprendimento:</w:t>
      </w:r>
    </w:p>
    <w:p w14:paraId="643C0B0B" w14:textId="77777777"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onoscenza e comprensione</w:t>
      </w:r>
    </w:p>
    <w:p w14:paraId="6E8090F7" w14:textId="77777777" w:rsidR="005D533D" w:rsidRPr="00E24F7A" w:rsidRDefault="005D533D" w:rsidP="0085760C">
      <w:pPr>
        <w:spacing w:line="240" w:lineRule="exact"/>
      </w:pPr>
      <w:r w:rsidRPr="00E24F7A">
        <w:t>Lo studente avrà acquisito una conoscenza monografica del diritto delle obbligazioni e sarà in grado di comprendere i nessi sistematici tra le diverse norme</w:t>
      </w:r>
      <w:r>
        <w:t>,</w:t>
      </w:r>
      <w:r w:rsidRPr="00E24F7A">
        <w:t xml:space="preserve"> anche appartenenti a</w:t>
      </w:r>
      <w:r>
        <w:t>d</w:t>
      </w:r>
      <w:r w:rsidRPr="00E24F7A">
        <w:t xml:space="preserve"> </w:t>
      </w:r>
      <w:r>
        <w:t xml:space="preserve">altri </w:t>
      </w:r>
      <w:r w:rsidRPr="00E24F7A">
        <w:t>settori del diritto civile.</w:t>
      </w:r>
    </w:p>
    <w:p w14:paraId="55464A1E" w14:textId="77777777"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apacità di applicare conoscenza e comprensione</w:t>
      </w:r>
    </w:p>
    <w:p w14:paraId="04963A71" w14:textId="77777777" w:rsidR="005D533D" w:rsidRPr="00E24F7A" w:rsidRDefault="005D533D" w:rsidP="0085760C">
      <w:pPr>
        <w:spacing w:line="240" w:lineRule="exact"/>
      </w:pPr>
      <w:r w:rsidRPr="00E24F7A">
        <w:t xml:space="preserve">Sarà in grado di applicare le nozioni </w:t>
      </w:r>
      <w:r w:rsidR="0047274D">
        <w:t xml:space="preserve">acquisite </w:t>
      </w:r>
      <w:r w:rsidRPr="00E24F7A">
        <w:t xml:space="preserve">per </w:t>
      </w:r>
      <w:r>
        <w:t>rispondere a</w:t>
      </w:r>
      <w:r w:rsidRPr="00E24F7A">
        <w:t>lle questioni più attuali nel dibattito giurisprudenziale e dottrinale.</w:t>
      </w:r>
    </w:p>
    <w:p w14:paraId="124CB6DA" w14:textId="77777777"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A</w:t>
      </w:r>
      <w:r w:rsidRPr="005D533D">
        <w:rPr>
          <w:rFonts w:ascii="Times" w:hAnsi="Times" w:cs="Times"/>
          <w:i/>
          <w:szCs w:val="20"/>
        </w:rPr>
        <w:t>utonomia di giudizio</w:t>
      </w:r>
    </w:p>
    <w:p w14:paraId="240F8CB5" w14:textId="77777777" w:rsidR="005D533D" w:rsidRPr="00E24F7A" w:rsidRDefault="005D533D" w:rsidP="0085760C">
      <w:pPr>
        <w:spacing w:line="240" w:lineRule="exact"/>
      </w:pPr>
      <w:r w:rsidRPr="00E24F7A">
        <w:t>Sarà in grado di esaminare criticamente gli argomenti utilizzati a sostegno delle diverse tesi interpretative e di valutarne in modo comparativo la coerenza logica e la forza persuasiva, scegliendo la soluzione più adeguata al caso esaminato.</w:t>
      </w:r>
    </w:p>
    <w:p w14:paraId="0395C87C" w14:textId="77777777"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A</w:t>
      </w:r>
      <w:r w:rsidRPr="005D533D">
        <w:rPr>
          <w:rFonts w:ascii="Times" w:hAnsi="Times" w:cs="Times"/>
          <w:i/>
          <w:szCs w:val="20"/>
        </w:rPr>
        <w:t>bilità comunicative</w:t>
      </w:r>
    </w:p>
    <w:p w14:paraId="2438F086" w14:textId="77777777" w:rsidR="005D533D" w:rsidRDefault="005D533D" w:rsidP="0085760C">
      <w:pPr>
        <w:spacing w:line="240" w:lineRule="exact"/>
      </w:pPr>
      <w:r>
        <w:t>Lo studente sarà in grado di rappresentare in termini giuridicamente corretti le questioni giuridiche, le loro soluzioni e gli argomenti su cui queste si fondano.</w:t>
      </w:r>
    </w:p>
    <w:p w14:paraId="3770165A" w14:textId="77777777" w:rsidR="005D533D" w:rsidRPr="00E24F7A" w:rsidRDefault="005D533D" w:rsidP="0085760C">
      <w:pPr>
        <w:suppressAutoHyphens/>
        <w:spacing w:line="240" w:lineRule="exact"/>
        <w:rPr>
          <w:rFonts w:ascii="Times" w:hAnsi="Times" w:cs="Times"/>
          <w:szCs w:val="20"/>
        </w:rPr>
      </w:pPr>
      <w:r w:rsidRPr="00E24F7A">
        <w:rPr>
          <w:rFonts w:ascii="Times" w:hAnsi="Times" w:cs="Times"/>
          <w:szCs w:val="20"/>
        </w:rPr>
        <w:t>I frequentanti del corso, che avranno volontariamente deciso di presenta</w:t>
      </w:r>
      <w:r>
        <w:rPr>
          <w:rFonts w:ascii="Times" w:hAnsi="Times" w:cs="Times"/>
          <w:szCs w:val="20"/>
        </w:rPr>
        <w:t>re</w:t>
      </w:r>
      <w:r w:rsidRPr="00E24F7A">
        <w:rPr>
          <w:rFonts w:ascii="Times" w:hAnsi="Times" w:cs="Times"/>
          <w:szCs w:val="20"/>
        </w:rPr>
        <w:t xml:space="preserve"> </w:t>
      </w:r>
      <w:r w:rsidR="00473E5B">
        <w:rPr>
          <w:rFonts w:ascii="Times" w:hAnsi="Times" w:cs="Times"/>
          <w:szCs w:val="20"/>
        </w:rPr>
        <w:t xml:space="preserve">in aula (fisica o virtuale) </w:t>
      </w:r>
      <w:r>
        <w:rPr>
          <w:rFonts w:ascii="Times" w:hAnsi="Times" w:cs="Times"/>
          <w:szCs w:val="20"/>
        </w:rPr>
        <w:t xml:space="preserve">un </w:t>
      </w:r>
      <w:r w:rsidRPr="00E24F7A">
        <w:rPr>
          <w:rFonts w:ascii="Times" w:hAnsi="Times" w:cs="Times"/>
          <w:szCs w:val="20"/>
        </w:rPr>
        <w:t>cas</w:t>
      </w:r>
      <w:r>
        <w:rPr>
          <w:rFonts w:ascii="Times" w:hAnsi="Times" w:cs="Times"/>
          <w:szCs w:val="20"/>
        </w:rPr>
        <w:t>o di studio</w:t>
      </w:r>
      <w:r w:rsidRPr="00E24F7A">
        <w:rPr>
          <w:rFonts w:ascii="Times" w:hAnsi="Times" w:cs="Times"/>
          <w:szCs w:val="20"/>
        </w:rPr>
        <w:t xml:space="preserve">, avranno sviluppato le competenze necessarie all’esposizione (anche mediante l’utilizzo di ausili informatici e </w:t>
      </w:r>
      <w:r w:rsidR="00AA28CA">
        <w:rPr>
          <w:rFonts w:ascii="Times" w:hAnsi="Times" w:cs="Times"/>
          <w:szCs w:val="20"/>
        </w:rPr>
        <w:t>audio</w:t>
      </w:r>
      <w:r w:rsidRPr="00E24F7A">
        <w:rPr>
          <w:rFonts w:ascii="Times" w:hAnsi="Times" w:cs="Times"/>
          <w:szCs w:val="20"/>
        </w:rPr>
        <w:t>visivi) di problemi giuridici complessi e delle loro possibili soluzioni.</w:t>
      </w:r>
    </w:p>
    <w:p w14:paraId="62165415" w14:textId="77777777"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apacità di apprendimento</w:t>
      </w:r>
    </w:p>
    <w:p w14:paraId="0DA49E39" w14:textId="77777777" w:rsidR="005D533D" w:rsidRPr="00F705D8" w:rsidRDefault="005D533D" w:rsidP="0085760C">
      <w:pPr>
        <w:spacing w:line="240" w:lineRule="exact"/>
      </w:pPr>
      <w:r w:rsidRPr="00F705D8">
        <w:t>Lo studente sarà in grado di individuare le fonti normative, giurisprudenziali e dottrinali, che costituiscono gli strumenti di conoscenza necessari per risolvere le controversie tra privati in materia di adempimento e inadempimento delle obbligazioni.</w:t>
      </w:r>
    </w:p>
    <w:p w14:paraId="7F569618" w14:textId="77777777" w:rsidR="005D533D" w:rsidRDefault="005D533D" w:rsidP="005D53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C9090F" w14:textId="77777777" w:rsidR="005D533D" w:rsidRDefault="005D533D" w:rsidP="0085760C">
      <w:pPr>
        <w:spacing w:line="240" w:lineRule="exact"/>
      </w:pPr>
      <w:r w:rsidRPr="008B2699">
        <w:t xml:space="preserve">Le obbligazioni nel sistema del diritto civile. Il rapporto obbligatorio. Le fonti dell’obbligazione. La prestazione. Gli obblighi di buona fede e correttezza. La diligenza e gli obblighi integrativi strumentali. L’adempimento. L’inadempimento e </w:t>
      </w:r>
      <w:r w:rsidRPr="008B2699">
        <w:lastRenderedPageBreak/>
        <w:t>la responsabilità. La risoluzione del contratto con prestazioni corrispettive. Gli obblighi di protezione senza prestazione. Il risarcimento del danno. I modi di estinzione diversi dall’adempimento. La successione nel credito e nel debito.</w:t>
      </w:r>
    </w:p>
    <w:p w14:paraId="366D657B" w14:textId="51F9EA2B" w:rsidR="005D533D" w:rsidRPr="0085760C" w:rsidRDefault="005D533D" w:rsidP="008576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C165E">
        <w:rPr>
          <w:rStyle w:val="Rimandonotaapidipagina"/>
          <w:b/>
          <w:i/>
          <w:sz w:val="18"/>
        </w:rPr>
        <w:footnoteReference w:id="1"/>
      </w:r>
    </w:p>
    <w:p w14:paraId="1DDB0224" w14:textId="76BF1B38" w:rsidR="005D533D" w:rsidRPr="005D533D" w:rsidRDefault="005D533D" w:rsidP="005D533D">
      <w:pPr>
        <w:tabs>
          <w:tab w:val="left" w:pos="142"/>
          <w:tab w:val="left" w:pos="567"/>
          <w:tab w:val="left" w:pos="4395"/>
        </w:tabs>
        <w:spacing w:line="240" w:lineRule="atLeast"/>
        <w:ind w:left="284" w:hanging="284"/>
        <w:rPr>
          <w:rFonts w:ascii="Times" w:hAnsi="Times" w:cs="Times"/>
          <w:spacing w:val="-5"/>
          <w:sz w:val="18"/>
          <w:szCs w:val="18"/>
        </w:rPr>
      </w:pPr>
      <w:r w:rsidRPr="005D533D">
        <w:rPr>
          <w:rFonts w:ascii="Times" w:hAnsi="Times" w:cs="Times"/>
          <w:smallCaps/>
          <w:spacing w:val="-5"/>
          <w:sz w:val="16"/>
        </w:rPr>
        <w:t>A. Albanese,</w:t>
      </w:r>
      <w:r w:rsidRPr="005D533D">
        <w:rPr>
          <w:rFonts w:ascii="Times" w:hAnsi="Times" w:cs="Times"/>
          <w:i/>
          <w:spacing w:val="-5"/>
          <w:sz w:val="18"/>
        </w:rPr>
        <w:t xml:space="preserve"> </w:t>
      </w:r>
      <w:r w:rsidRPr="005D533D">
        <w:rPr>
          <w:rFonts w:ascii="Times" w:hAnsi="Times" w:cs="Times"/>
          <w:i/>
          <w:spacing w:val="-5"/>
          <w:sz w:val="18"/>
          <w:szCs w:val="18"/>
        </w:rPr>
        <w:t>Il rapporto obbligatorio: profili strutturali e funzionali,</w:t>
      </w:r>
      <w:r w:rsidRPr="005D533D">
        <w:rPr>
          <w:rFonts w:ascii="Times" w:hAnsi="Times" w:cs="Times"/>
          <w:spacing w:val="-5"/>
          <w:sz w:val="18"/>
          <w:szCs w:val="18"/>
        </w:rPr>
        <w:t xml:space="preserve"> Lib</w:t>
      </w:r>
      <w:r w:rsidR="007B5C36">
        <w:rPr>
          <w:rFonts w:ascii="Times" w:hAnsi="Times" w:cs="Times"/>
          <w:spacing w:val="-5"/>
          <w:sz w:val="18"/>
          <w:szCs w:val="18"/>
        </w:rPr>
        <w:t>ellula, Tricase (LE), 2014</w:t>
      </w:r>
      <w:r w:rsidRPr="005D533D">
        <w:rPr>
          <w:rFonts w:ascii="Times" w:hAnsi="Times" w:cs="Times"/>
          <w:spacing w:val="-5"/>
          <w:sz w:val="18"/>
          <w:szCs w:val="18"/>
        </w:rPr>
        <w:t>.</w:t>
      </w:r>
      <w:r w:rsidR="009C165E">
        <w:rPr>
          <w:rFonts w:ascii="Times" w:hAnsi="Times" w:cs="Times"/>
          <w:spacing w:val="-5"/>
          <w:sz w:val="18"/>
          <w:szCs w:val="18"/>
        </w:rPr>
        <w:t xml:space="preserve"> </w:t>
      </w:r>
      <w:hyperlink r:id="rId7" w:history="1">
        <w:r w:rsidR="009C165E" w:rsidRPr="009C165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5EDEC7A" w14:textId="5226263F" w:rsidR="005D533D" w:rsidRPr="005D533D" w:rsidRDefault="005D533D" w:rsidP="005D533D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5D533D">
        <w:rPr>
          <w:rFonts w:ascii="Times" w:hAnsi="Times"/>
          <w:smallCaps/>
          <w:noProof/>
          <w:spacing w:val="-5"/>
          <w:sz w:val="16"/>
          <w:szCs w:val="16"/>
        </w:rPr>
        <w:t>AA.VV.</w:t>
      </w:r>
      <w:r w:rsidRPr="005D533D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Pr="005D533D">
        <w:rPr>
          <w:rFonts w:ascii="Times" w:hAnsi="Times"/>
          <w:i/>
          <w:noProof/>
          <w:spacing w:val="-5"/>
          <w:sz w:val="18"/>
          <w:szCs w:val="18"/>
        </w:rPr>
        <w:t xml:space="preserve"> Diritto civile. Nuovi casi e soluzioni con guida metodologica,</w:t>
      </w:r>
      <w:r w:rsidRPr="005D533D">
        <w:rPr>
          <w:rFonts w:ascii="Times" w:hAnsi="Times"/>
          <w:noProof/>
          <w:spacing w:val="-5"/>
          <w:sz w:val="18"/>
          <w:szCs w:val="18"/>
        </w:rPr>
        <w:t xml:space="preserve"> a cura di G. Christandl</w:t>
      </w:r>
      <w:r w:rsidR="0085760C">
        <w:rPr>
          <w:rFonts w:ascii="Times" w:hAnsi="Times"/>
          <w:noProof/>
          <w:spacing w:val="-5"/>
          <w:sz w:val="18"/>
          <w:szCs w:val="18"/>
        </w:rPr>
        <w:t>-</w:t>
      </w:r>
      <w:r w:rsidRPr="005D533D">
        <w:rPr>
          <w:rFonts w:ascii="Times" w:hAnsi="Times"/>
          <w:noProof/>
          <w:spacing w:val="-5"/>
          <w:sz w:val="18"/>
          <w:szCs w:val="18"/>
        </w:rPr>
        <w:t>E</w:t>
      </w:r>
      <w:r w:rsidR="0085760C">
        <w:rPr>
          <w:rFonts w:ascii="Times" w:hAnsi="Times"/>
          <w:noProof/>
          <w:spacing w:val="-5"/>
          <w:sz w:val="18"/>
          <w:szCs w:val="18"/>
        </w:rPr>
        <w:t>.</w:t>
      </w:r>
      <w:r w:rsidRPr="005D533D">
        <w:rPr>
          <w:rFonts w:ascii="Times" w:hAnsi="Times"/>
          <w:noProof/>
          <w:spacing w:val="-5"/>
          <w:sz w:val="18"/>
          <w:szCs w:val="18"/>
        </w:rPr>
        <w:t xml:space="preserve"> Gallmetzer, Giuffrè, Milano, 2017.</w:t>
      </w:r>
      <w:r w:rsidR="009C165E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9C165E" w:rsidRPr="009C165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395F683" w14:textId="77777777" w:rsidR="005D533D" w:rsidRPr="005D533D" w:rsidRDefault="005D533D" w:rsidP="005D533D">
      <w:pPr>
        <w:pStyle w:val="Testo1"/>
      </w:pPr>
      <w:r w:rsidRPr="005D533D">
        <w:t>Si raccomanda altresì l’utilizzo costante del Codice civile, nell’edizione più aggiornata disponibile in commercio.</w:t>
      </w:r>
    </w:p>
    <w:p w14:paraId="6B1ED288" w14:textId="77777777" w:rsidR="005D533D" w:rsidRDefault="005D533D" w:rsidP="005D53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7FAE89" w14:textId="77777777" w:rsidR="005D533D" w:rsidRPr="00425DBB" w:rsidRDefault="005D533D" w:rsidP="005D533D">
      <w:pPr>
        <w:pStyle w:val="Testo2"/>
      </w:pPr>
      <w:r w:rsidRPr="00425DBB">
        <w:t>Lezioni in aula</w:t>
      </w:r>
      <w:r w:rsidR="00084EC0">
        <w:t xml:space="preserve"> e</w:t>
      </w:r>
      <w:r w:rsidRPr="00425DBB">
        <w:t xml:space="preserve"> presenta</w:t>
      </w:r>
      <w:r>
        <w:t xml:space="preserve">zione di casi </w:t>
      </w:r>
      <w:r w:rsidRPr="00425DBB">
        <w:t>pratic</w:t>
      </w:r>
      <w:r>
        <w:t>i</w:t>
      </w:r>
      <w:r w:rsidRPr="00425DBB">
        <w:t xml:space="preserve"> </w:t>
      </w:r>
      <w:r w:rsidR="00084EC0">
        <w:t>discussi in aula</w:t>
      </w:r>
      <w:r w:rsidRPr="00425DBB">
        <w:t>.</w:t>
      </w:r>
    </w:p>
    <w:p w14:paraId="75576C72" w14:textId="77777777" w:rsidR="005D533D" w:rsidRDefault="005D533D" w:rsidP="005D53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E857D6" w14:textId="77777777" w:rsidR="005D533D" w:rsidRPr="00C85383" w:rsidRDefault="005D533D" w:rsidP="005D533D">
      <w:pPr>
        <w:pStyle w:val="Testo2"/>
        <w:rPr>
          <w:szCs w:val="18"/>
        </w:rPr>
      </w:pPr>
      <w:r w:rsidRPr="00425DBB">
        <w:rPr>
          <w:szCs w:val="18"/>
        </w:rPr>
        <w:t xml:space="preserve">Gli studenti sosterranno </w:t>
      </w:r>
      <w:r>
        <w:rPr>
          <w:szCs w:val="18"/>
        </w:rPr>
        <w:t>l’</w:t>
      </w:r>
      <w:r w:rsidRPr="00425DBB">
        <w:rPr>
          <w:szCs w:val="18"/>
        </w:rPr>
        <w:t>esame</w:t>
      </w:r>
      <w:r>
        <w:rPr>
          <w:szCs w:val="18"/>
        </w:rPr>
        <w:t xml:space="preserve">, rispondendo </w:t>
      </w:r>
      <w:r w:rsidRPr="00425DBB">
        <w:rPr>
          <w:szCs w:val="18"/>
        </w:rPr>
        <w:t xml:space="preserve">in forma orale </w:t>
      </w:r>
      <w:r>
        <w:rPr>
          <w:szCs w:val="18"/>
        </w:rPr>
        <w:t>a una serie di domande (di norma tre)</w:t>
      </w:r>
      <w:r w:rsidRPr="00425DBB">
        <w:rPr>
          <w:szCs w:val="18"/>
        </w:rPr>
        <w:t xml:space="preserve"> volt</w:t>
      </w:r>
      <w:r>
        <w:rPr>
          <w:szCs w:val="18"/>
        </w:rPr>
        <w:t>e</w:t>
      </w:r>
      <w:r w:rsidRPr="00425DBB">
        <w:rPr>
          <w:szCs w:val="18"/>
        </w:rPr>
        <w:t xml:space="preserve"> a verificare il livello di conoscenza dei contenuti del corso nonché la</w:t>
      </w:r>
      <w:r w:rsidRPr="00A61A25">
        <w:rPr>
          <w:sz w:val="24"/>
          <w:szCs w:val="24"/>
        </w:rPr>
        <w:t xml:space="preserve"> </w:t>
      </w:r>
      <w:r w:rsidRPr="00425DBB">
        <w:rPr>
          <w:szCs w:val="18"/>
        </w:rPr>
        <w:t>capacità di argomentare in termini logico-giuridico le soluzioni elaborate dalla giurisprudenza e dalla dottrina in merito ai diversi problemi interpretativi.</w:t>
      </w:r>
      <w:r>
        <w:rPr>
          <w:szCs w:val="18"/>
        </w:rPr>
        <w:t xml:space="preserve"> Ai fini del</w:t>
      </w:r>
      <w:r w:rsidRPr="00C85383">
        <w:rPr>
          <w:szCs w:val="18"/>
        </w:rPr>
        <w:t xml:space="preserve">la valutazione </w:t>
      </w:r>
      <w:r>
        <w:rPr>
          <w:szCs w:val="18"/>
        </w:rPr>
        <w:t xml:space="preserve">assumerà </w:t>
      </w:r>
      <w:r w:rsidRPr="00C85383">
        <w:rPr>
          <w:szCs w:val="18"/>
        </w:rPr>
        <w:t>rilev</w:t>
      </w:r>
      <w:r>
        <w:rPr>
          <w:szCs w:val="18"/>
        </w:rPr>
        <w:t xml:space="preserve">anza anche </w:t>
      </w:r>
      <w:r w:rsidRPr="00C85383">
        <w:rPr>
          <w:szCs w:val="18"/>
        </w:rPr>
        <w:t>la capacità dello studente di esprimersi con un linguaggio tecnico-giuridico appropriato e di mettere in relazione le varie parti del programma.</w:t>
      </w:r>
    </w:p>
    <w:p w14:paraId="2D7E817D" w14:textId="77777777" w:rsidR="005D533D" w:rsidRPr="00C85383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>La valutazione di eccellenza sarà riconosciuta allo studente che dimostri sicura padronanza delle questioni affrontate nonchè la capacità di rappresentare criticamente le diverse soluzioni interpretative e gli argomenti su cui queste si basano, esprimendosi con precisione linguistica.</w:t>
      </w:r>
    </w:p>
    <w:p w14:paraId="693A5C98" w14:textId="77777777" w:rsidR="005D533D" w:rsidRPr="00C85383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 xml:space="preserve">Una adeguata conoscenza dei temi oggetto del programma e la loro esposizione con un linguaggio corretto, anche se non sempre tecnicamente rigoroso, </w:t>
      </w:r>
      <w:r>
        <w:rPr>
          <w:szCs w:val="18"/>
        </w:rPr>
        <w:t xml:space="preserve">daranno luogo </w:t>
      </w:r>
      <w:r w:rsidRPr="00C85383">
        <w:rPr>
          <w:szCs w:val="18"/>
        </w:rPr>
        <w:t>a valutazioni discrete.</w:t>
      </w:r>
    </w:p>
    <w:p w14:paraId="7EFF184B" w14:textId="77777777" w:rsidR="005D533D" w:rsidRPr="00C85383" w:rsidRDefault="005D533D" w:rsidP="005D533D">
      <w:pPr>
        <w:pStyle w:val="Testo2"/>
        <w:rPr>
          <w:szCs w:val="18"/>
        </w:rPr>
      </w:pPr>
      <w:r>
        <w:rPr>
          <w:szCs w:val="18"/>
        </w:rPr>
        <w:t>L</w:t>
      </w:r>
      <w:r w:rsidRPr="00C85383">
        <w:rPr>
          <w:szCs w:val="18"/>
        </w:rPr>
        <w:t xml:space="preserve">a valutazione </w:t>
      </w:r>
      <w:r>
        <w:rPr>
          <w:szCs w:val="18"/>
        </w:rPr>
        <w:t xml:space="preserve">sarà </w:t>
      </w:r>
      <w:r w:rsidRPr="00C85383">
        <w:rPr>
          <w:szCs w:val="18"/>
        </w:rPr>
        <w:t>sufficiente</w:t>
      </w:r>
      <w:r>
        <w:rPr>
          <w:szCs w:val="18"/>
        </w:rPr>
        <w:t>, pur</w:t>
      </w:r>
      <w:r w:rsidRPr="00C85383">
        <w:rPr>
          <w:szCs w:val="18"/>
        </w:rPr>
        <w:t xml:space="preserve"> </w:t>
      </w:r>
      <w:r>
        <w:rPr>
          <w:szCs w:val="18"/>
        </w:rPr>
        <w:t xml:space="preserve">in </w:t>
      </w:r>
      <w:r w:rsidRPr="00C85383">
        <w:rPr>
          <w:szCs w:val="18"/>
        </w:rPr>
        <w:t>presenza di lacune</w:t>
      </w:r>
      <w:r>
        <w:rPr>
          <w:szCs w:val="18"/>
        </w:rPr>
        <w:t>,</w:t>
      </w:r>
      <w:r w:rsidRPr="00C85383">
        <w:rPr>
          <w:szCs w:val="18"/>
        </w:rPr>
        <w:t xml:space="preserve"> </w:t>
      </w:r>
      <w:r>
        <w:rPr>
          <w:szCs w:val="18"/>
        </w:rPr>
        <w:t xml:space="preserve">ove </w:t>
      </w:r>
      <w:r w:rsidRPr="00C85383">
        <w:rPr>
          <w:szCs w:val="18"/>
        </w:rPr>
        <w:t xml:space="preserve">lo studente </w:t>
      </w:r>
      <w:r>
        <w:rPr>
          <w:szCs w:val="18"/>
        </w:rPr>
        <w:t xml:space="preserve">dimostri, con riferimento ad almeno due domande, di essere in grado </w:t>
      </w:r>
      <w:r w:rsidRPr="00C85383">
        <w:rPr>
          <w:szCs w:val="18"/>
        </w:rPr>
        <w:t>di ricostruire</w:t>
      </w:r>
      <w:r>
        <w:rPr>
          <w:szCs w:val="18"/>
        </w:rPr>
        <w:t xml:space="preserve"> e rappresentare</w:t>
      </w:r>
      <w:r w:rsidRPr="00C85383">
        <w:rPr>
          <w:szCs w:val="18"/>
        </w:rPr>
        <w:t xml:space="preserve"> il problema interpretativo e i principali argomenti su cui si basano le soluzioni offerte da dottrina e giurisprudenza.</w:t>
      </w:r>
    </w:p>
    <w:p w14:paraId="1B53F6BA" w14:textId="77777777" w:rsidR="005D533D" w:rsidRPr="00425DBB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 xml:space="preserve">Sarà considerata insufficiente la preparazione che, con riguardo ad almeno due domande, denoti lacune che impediscono allo studente di individuare il problema intepretativo da esaminare, le possibili soluzioni ad esso e/o i principali argomenti su cui queste ultime si fondano. </w:t>
      </w:r>
      <w:r>
        <w:rPr>
          <w:szCs w:val="18"/>
        </w:rPr>
        <w:t>Parimenti il giudizio sarà negativo</w:t>
      </w:r>
      <w:r w:rsidRPr="00C85383">
        <w:rPr>
          <w:szCs w:val="18"/>
        </w:rPr>
        <w:t xml:space="preserve"> nel caso in cui per le risposte sia utilizzato un </w:t>
      </w:r>
      <w:r w:rsidRPr="00C85383">
        <w:rPr>
          <w:szCs w:val="18"/>
        </w:rPr>
        <w:lastRenderedPageBreak/>
        <w:t>linguaggio inadeguato a esprimere in modo chiaro e giuridicamente inequivoco i contenuti esposti.</w:t>
      </w:r>
    </w:p>
    <w:p w14:paraId="7F2CEC3F" w14:textId="77777777" w:rsidR="005D533D" w:rsidRDefault="005D533D" w:rsidP="005D53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70334E" w14:textId="77777777" w:rsidR="007B5C36" w:rsidRPr="007B5C36" w:rsidRDefault="007B5C36" w:rsidP="005D533D">
      <w:pPr>
        <w:spacing w:before="120"/>
        <w:ind w:firstLine="284"/>
        <w:rPr>
          <w:rFonts w:ascii="Times" w:hAnsi="Times"/>
          <w:noProof/>
          <w:sz w:val="18"/>
          <w:szCs w:val="20"/>
        </w:rPr>
      </w:pPr>
      <w:r w:rsidRPr="007B5C36">
        <w:rPr>
          <w:rFonts w:ascii="Times" w:hAnsi="Times"/>
          <w:noProof/>
          <w:sz w:val="18"/>
          <w:szCs w:val="20"/>
        </w:rPr>
        <w:t>È possibile sostenere l’esame solo dopo aver superato l’esame di Istituzioni di diritto privato.</w:t>
      </w:r>
    </w:p>
    <w:p w14:paraId="606D3271" w14:textId="77777777" w:rsidR="005D533D" w:rsidRDefault="005D533D" w:rsidP="005D533D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583503AC" w14:textId="77777777" w:rsidR="005D533D" w:rsidRPr="005D533D" w:rsidRDefault="005D533D" w:rsidP="005D533D">
      <w:pPr>
        <w:suppressAutoHyphens/>
        <w:ind w:firstLine="284"/>
        <w:rPr>
          <w:rFonts w:ascii="Times" w:hAnsi="Times" w:cs="Times"/>
          <w:noProof/>
          <w:sz w:val="18"/>
          <w:szCs w:val="18"/>
        </w:rPr>
      </w:pPr>
      <w:r w:rsidRPr="008B2699">
        <w:rPr>
          <w:rFonts w:ascii="Times" w:hAnsi="Times" w:cs="Times"/>
          <w:noProof/>
          <w:sz w:val="18"/>
          <w:szCs w:val="18"/>
        </w:rPr>
        <w:t>I</w:t>
      </w:r>
      <w:r w:rsidR="00084EC0">
        <w:rPr>
          <w:rFonts w:ascii="Times" w:hAnsi="Times" w:cs="Times"/>
          <w:noProof/>
          <w:sz w:val="18"/>
          <w:szCs w:val="18"/>
        </w:rPr>
        <w:t xml:space="preserve"> docenti</w:t>
      </w:r>
      <w:r w:rsidRPr="008B2699">
        <w:rPr>
          <w:rFonts w:ascii="Times" w:hAnsi="Times" w:cs="Times"/>
          <w:noProof/>
          <w:sz w:val="18"/>
          <w:szCs w:val="18"/>
        </w:rPr>
        <w:t xml:space="preserve"> ricever</w:t>
      </w:r>
      <w:r w:rsidR="00084EC0">
        <w:rPr>
          <w:rFonts w:ascii="Times" w:hAnsi="Times" w:cs="Times"/>
          <w:noProof/>
          <w:sz w:val="18"/>
          <w:szCs w:val="18"/>
        </w:rPr>
        <w:t>anno</w:t>
      </w:r>
      <w:r w:rsidRPr="008B2699">
        <w:rPr>
          <w:rFonts w:ascii="Times" w:hAnsi="Times" w:cs="Times"/>
          <w:noProof/>
          <w:sz w:val="18"/>
          <w:szCs w:val="18"/>
        </w:rPr>
        <w:t xml:space="preserve"> gli studenti come da orario indicato nella </w:t>
      </w:r>
      <w:r w:rsidR="00084EC0">
        <w:rPr>
          <w:rFonts w:ascii="Times" w:hAnsi="Times" w:cs="Times"/>
          <w:noProof/>
          <w:sz w:val="18"/>
          <w:szCs w:val="18"/>
        </w:rPr>
        <w:t xml:space="preserve">rispettiva </w:t>
      </w:r>
      <w:r w:rsidRPr="008B2699">
        <w:rPr>
          <w:rFonts w:ascii="Times" w:hAnsi="Times" w:cs="Times"/>
          <w:noProof/>
          <w:sz w:val="18"/>
          <w:szCs w:val="18"/>
        </w:rPr>
        <w:t xml:space="preserve">pagina personale consultabile al sito </w:t>
      </w:r>
      <w:r w:rsidRPr="00146C86">
        <w:rPr>
          <w:rFonts w:ascii="Times" w:hAnsi="Times" w:cs="Times"/>
          <w:i/>
          <w:noProof/>
          <w:sz w:val="18"/>
          <w:szCs w:val="18"/>
        </w:rPr>
        <w:t>http://docenti.unicatt.it/</w:t>
      </w:r>
      <w:r w:rsidRPr="008B2699">
        <w:rPr>
          <w:rFonts w:ascii="Times" w:hAnsi="Times" w:cs="Times"/>
          <w:noProof/>
          <w:sz w:val="18"/>
          <w:szCs w:val="18"/>
        </w:rPr>
        <w:t>.</w:t>
      </w:r>
    </w:p>
    <w:sectPr w:rsidR="005D533D" w:rsidRPr="005D53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B578" w14:textId="77777777" w:rsidR="009C165E" w:rsidRDefault="009C165E" w:rsidP="009C165E">
      <w:pPr>
        <w:spacing w:line="240" w:lineRule="auto"/>
      </w:pPr>
      <w:r>
        <w:separator/>
      </w:r>
    </w:p>
  </w:endnote>
  <w:endnote w:type="continuationSeparator" w:id="0">
    <w:p w14:paraId="10E2F72A" w14:textId="77777777" w:rsidR="009C165E" w:rsidRDefault="009C165E" w:rsidP="009C1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78A8" w14:textId="77777777" w:rsidR="009C165E" w:rsidRDefault="009C165E" w:rsidP="009C165E">
      <w:pPr>
        <w:spacing w:line="240" w:lineRule="auto"/>
      </w:pPr>
      <w:r>
        <w:separator/>
      </w:r>
    </w:p>
  </w:footnote>
  <w:footnote w:type="continuationSeparator" w:id="0">
    <w:p w14:paraId="498F46A8" w14:textId="77777777" w:rsidR="009C165E" w:rsidRDefault="009C165E" w:rsidP="009C165E">
      <w:pPr>
        <w:spacing w:line="240" w:lineRule="auto"/>
      </w:pPr>
      <w:r>
        <w:continuationSeparator/>
      </w:r>
    </w:p>
  </w:footnote>
  <w:footnote w:id="1">
    <w:p w14:paraId="7B99607D" w14:textId="43FCB5C2" w:rsidR="009C165E" w:rsidRDefault="009C16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08"/>
    <w:rsid w:val="00084EC0"/>
    <w:rsid w:val="00100152"/>
    <w:rsid w:val="00187B99"/>
    <w:rsid w:val="001A01CF"/>
    <w:rsid w:val="002014DD"/>
    <w:rsid w:val="002D5E17"/>
    <w:rsid w:val="002E4E6C"/>
    <w:rsid w:val="0047274D"/>
    <w:rsid w:val="00473E5B"/>
    <w:rsid w:val="004A3C86"/>
    <w:rsid w:val="004D1217"/>
    <w:rsid w:val="004D6008"/>
    <w:rsid w:val="005310AD"/>
    <w:rsid w:val="005D533D"/>
    <w:rsid w:val="005F2808"/>
    <w:rsid w:val="00640794"/>
    <w:rsid w:val="006F1772"/>
    <w:rsid w:val="007B5C36"/>
    <w:rsid w:val="0085760C"/>
    <w:rsid w:val="008942E7"/>
    <w:rsid w:val="008A1204"/>
    <w:rsid w:val="00900CCA"/>
    <w:rsid w:val="00924B77"/>
    <w:rsid w:val="00940DA2"/>
    <w:rsid w:val="009949B7"/>
    <w:rsid w:val="009C165E"/>
    <w:rsid w:val="009E055C"/>
    <w:rsid w:val="00A74F6F"/>
    <w:rsid w:val="00AA28CA"/>
    <w:rsid w:val="00AD7557"/>
    <w:rsid w:val="00B50C5D"/>
    <w:rsid w:val="00B51253"/>
    <w:rsid w:val="00B525CC"/>
    <w:rsid w:val="00D404F2"/>
    <w:rsid w:val="00E607E6"/>
    <w:rsid w:val="00F61055"/>
    <w:rsid w:val="00F862EF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23D66"/>
  <w15:chartTrackingRefBased/>
  <w15:docId w15:val="{B72818BC-31A8-46FF-84A1-63A0730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5D533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9C165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65E"/>
  </w:style>
  <w:style w:type="character" w:styleId="Rimandonotaapidipagina">
    <w:name w:val="footnote reference"/>
    <w:basedOn w:val="Carpredefinitoparagrafo"/>
    <w:rsid w:val="009C165E"/>
    <w:rPr>
      <w:vertAlign w:val="superscript"/>
    </w:rPr>
  </w:style>
  <w:style w:type="character" w:styleId="Collegamentoipertestuale">
    <w:name w:val="Hyperlink"/>
    <w:basedOn w:val="Carpredefinitoparagrafo"/>
    <w:rsid w:val="009C16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civile-nuovi-casi-e-soluzioni-con-guida-metodologica-9788814221927-5505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io-albanese/il-rapporto-obbligatorio-profili-strutturali-e-funzionali-9791221409260-71176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F1FE-A843-454A-9109-444D739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701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2023-04-28T14:13:00Z</dcterms:created>
  <dcterms:modified xsi:type="dcterms:W3CDTF">2023-06-23T09:17:00Z</dcterms:modified>
</cp:coreProperties>
</file>