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3BDE" w14:textId="77777777" w:rsidR="00101F5D" w:rsidRDefault="00101F5D" w:rsidP="00101F5D">
      <w:pPr>
        <w:pStyle w:val="Titolo1"/>
      </w:pPr>
      <w:r w:rsidRPr="00A44671">
        <w:t>Mo</w:t>
      </w:r>
      <w:r>
        <w:t>delli per i mercati finanziari (s</w:t>
      </w:r>
      <w:r w:rsidRPr="00A44671">
        <w:t>trumenti derivati</w:t>
      </w:r>
      <w:r>
        <w:t>)</w:t>
      </w:r>
    </w:p>
    <w:p w14:paraId="1EDEA312" w14:textId="77777777" w:rsidR="00101F5D" w:rsidRDefault="00101F5D" w:rsidP="00101F5D">
      <w:pPr>
        <w:pStyle w:val="Titolo2"/>
      </w:pPr>
      <w:r>
        <w:t>Prof. Guido Luigi Ceccarossi</w:t>
      </w:r>
    </w:p>
    <w:p w14:paraId="5E22A0D6" w14:textId="77777777" w:rsidR="002D5E17" w:rsidRDefault="00101F5D" w:rsidP="00101F5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1810D87" w14:textId="77777777" w:rsidR="00101F5D" w:rsidRPr="006345E1" w:rsidRDefault="00101F5D" w:rsidP="00101F5D">
      <w:r w:rsidRPr="006345E1">
        <w:t>L’obiettivo del corso consiste nel fornire agli studenti le conoscenze base per affrontare problematiche, sia di valutazione che di gestione dei rischi, nei mercati dei tassi di interesse e nei mercati degli strumenti derivati. Verranno descritte le varie tipologie di strumenti finanziari tipici di ognuno di questi mercati presentando i principali modelli di valutazione e dimostrando le relazioni principali facendo ricorso al principio fondamentale di assenza di opportunità di arbitraggio. A completamento della trattazione, verranno inoltre approfondite le tecniche di gestione dei rischi connessi ad ognuno degli strumenti finanziari presentati attraverso un’analisi di sensitività del valore delle posizioni rispetto a variazioni delle variabili sottostanti.</w:t>
      </w:r>
    </w:p>
    <w:p w14:paraId="7EF0E16F" w14:textId="77777777" w:rsidR="00101F5D" w:rsidRPr="006345E1" w:rsidRDefault="00101F5D" w:rsidP="00101F5D">
      <w:pPr>
        <w:spacing w:before="120"/>
      </w:pPr>
      <w:r w:rsidRPr="006345E1">
        <w:t>Al termine del corso gli studenti:</w:t>
      </w:r>
    </w:p>
    <w:p w14:paraId="7A056704" w14:textId="77777777"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Avranno acquisito le conoscenze che gli permetteranno di comprendere a analizzare i principali modelli base di finanza quantitativa</w:t>
      </w:r>
      <w:r w:rsidR="003266A3">
        <w:t>.</w:t>
      </w:r>
    </w:p>
    <w:p w14:paraId="3C4E02DC" w14:textId="77777777"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Sapranno applicare tali modelli per affrontare problematiche sia di valutazione che di gestione dei rischi tipici dei mercati finanziari.</w:t>
      </w:r>
    </w:p>
    <w:p w14:paraId="17D075E2" w14:textId="77777777"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Avranno acquisito la capacità di analizzare situazioni anche nuove, comprenderne il contesto e identificare l’approccio migliore per gestirle</w:t>
      </w:r>
    </w:p>
    <w:p w14:paraId="33472F47" w14:textId="77777777"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Sapranno comunicare in modo chiaro e univoco a terzi le loro scelte essendo in grado di argomentarle compiutamente</w:t>
      </w:r>
      <w:r w:rsidR="003266A3">
        <w:t>.</w:t>
      </w:r>
    </w:p>
    <w:p w14:paraId="4CED77E8" w14:textId="77777777"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Avranno acquisito, attraverso lo studio dei modelli di base, un metodo che consenta loro di estendere in autonomia le conoscenze sull’argomento approfondendo tematiche più specifiche.</w:t>
      </w:r>
    </w:p>
    <w:p w14:paraId="4D1DD333" w14:textId="77777777" w:rsidR="00101F5D" w:rsidRDefault="00101F5D" w:rsidP="00101F5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3C3627" w14:textId="77777777"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>Titoli obbligazionari con e senza cedola.</w:t>
      </w:r>
    </w:p>
    <w:p w14:paraId="7CF63BD9" w14:textId="77777777"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 xml:space="preserve">Struttura per scadenza dei tassi di interesse, tassi spot e tassi </w:t>
      </w:r>
      <w:proofErr w:type="spellStart"/>
      <w:r w:rsidRPr="003266A3">
        <w:t>forward</w:t>
      </w:r>
      <w:proofErr w:type="spellEnd"/>
      <w:r w:rsidRPr="003266A3">
        <w:t>, Duration, Convessità e immunizzazione.</w:t>
      </w:r>
    </w:p>
    <w:p w14:paraId="0D62F131" w14:textId="77777777" w:rsidR="00101F5D" w:rsidRPr="006345E1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lang w:val="en-GB"/>
        </w:rPr>
      </w:pPr>
      <w:proofErr w:type="spellStart"/>
      <w:r w:rsidRPr="006345E1">
        <w:rPr>
          <w:lang w:val="en-GB"/>
        </w:rPr>
        <w:t>Contratti</w:t>
      </w:r>
      <w:proofErr w:type="spellEnd"/>
      <w:r w:rsidRPr="006345E1">
        <w:rPr>
          <w:lang w:val="en-GB"/>
        </w:rPr>
        <w:t xml:space="preserve"> Forward e Futures</w:t>
      </w:r>
      <w:r w:rsidR="003266A3">
        <w:rPr>
          <w:lang w:val="en-GB"/>
        </w:rPr>
        <w:t>.</w:t>
      </w:r>
    </w:p>
    <w:p w14:paraId="27CB93EF" w14:textId="77777777"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proofErr w:type="spellStart"/>
      <w:r w:rsidRPr="003266A3">
        <w:t>Forward</w:t>
      </w:r>
      <w:proofErr w:type="spellEnd"/>
      <w:r w:rsidRPr="003266A3">
        <w:t xml:space="preserve"> rate agreements (</w:t>
      </w:r>
      <w:proofErr w:type="spellStart"/>
      <w:r w:rsidRPr="003266A3">
        <w:t>FRAs</w:t>
      </w:r>
      <w:proofErr w:type="spellEnd"/>
      <w:r w:rsidRPr="003266A3">
        <w:t xml:space="preserve">) e loro valutazione. </w:t>
      </w:r>
      <w:proofErr w:type="spellStart"/>
      <w:r w:rsidRPr="003266A3">
        <w:t>Interest</w:t>
      </w:r>
      <w:proofErr w:type="spellEnd"/>
      <w:r w:rsidRPr="003266A3">
        <w:t xml:space="preserve"> rate Swaps: uso e valutazione.</w:t>
      </w:r>
    </w:p>
    <w:p w14:paraId="47F6F4F7" w14:textId="77777777"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>Opzioni: introduzione, strategie elementari, modello binomiale di pricing con implicazioni</w:t>
      </w:r>
      <w:r w:rsidR="003266A3">
        <w:t>.</w:t>
      </w:r>
    </w:p>
    <w:p w14:paraId="682089F6" w14:textId="77777777" w:rsidR="00101F5D" w:rsidRPr="006345E1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lang w:val="en-GB"/>
        </w:rPr>
      </w:pPr>
      <w:proofErr w:type="spellStart"/>
      <w:r w:rsidRPr="006345E1">
        <w:rPr>
          <w:lang w:val="en-GB"/>
        </w:rPr>
        <w:t>Introduzione</w:t>
      </w:r>
      <w:proofErr w:type="spellEnd"/>
      <w:r w:rsidRPr="006345E1">
        <w:rPr>
          <w:lang w:val="en-GB"/>
        </w:rPr>
        <w:t xml:space="preserve"> ai </w:t>
      </w:r>
      <w:proofErr w:type="spellStart"/>
      <w:r w:rsidRPr="006345E1">
        <w:rPr>
          <w:lang w:val="en-GB"/>
        </w:rPr>
        <w:t>processi</w:t>
      </w:r>
      <w:proofErr w:type="spellEnd"/>
      <w:r w:rsidRPr="006345E1">
        <w:rPr>
          <w:lang w:val="en-GB"/>
        </w:rPr>
        <w:t xml:space="preserve"> </w:t>
      </w:r>
      <w:proofErr w:type="spellStart"/>
      <w:r w:rsidRPr="006345E1">
        <w:rPr>
          <w:lang w:val="en-GB"/>
        </w:rPr>
        <w:t>stocastici</w:t>
      </w:r>
      <w:proofErr w:type="spellEnd"/>
      <w:r w:rsidRPr="006345E1">
        <w:rPr>
          <w:lang w:val="en-GB"/>
        </w:rPr>
        <w:t>.</w:t>
      </w:r>
    </w:p>
    <w:p w14:paraId="4359813A" w14:textId="77777777"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>Modello di Black-Scholes con implicazioni.</w:t>
      </w:r>
    </w:p>
    <w:p w14:paraId="5BBF6642" w14:textId="77777777"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lastRenderedPageBreak/>
        <w:t>Greche e gestione del rischio di posizioni complesse.</w:t>
      </w:r>
    </w:p>
    <w:p w14:paraId="58C2EA29" w14:textId="6A417F14" w:rsidR="00101F5D" w:rsidRDefault="00101F5D" w:rsidP="00101F5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750A43">
        <w:rPr>
          <w:rStyle w:val="Rimandonotaapidipagina"/>
          <w:b/>
          <w:i/>
          <w:sz w:val="18"/>
        </w:rPr>
        <w:footnoteReference w:id="1"/>
      </w:r>
    </w:p>
    <w:p w14:paraId="489E0E38" w14:textId="46222C7A" w:rsidR="00101F5D" w:rsidRPr="00101F5D" w:rsidRDefault="00101F5D" w:rsidP="00101F5D">
      <w:pPr>
        <w:pStyle w:val="Testo2"/>
        <w:spacing w:line="240" w:lineRule="atLeast"/>
        <w:ind w:left="284" w:hanging="284"/>
        <w:rPr>
          <w:spacing w:val="-5"/>
        </w:rPr>
      </w:pPr>
      <w:r w:rsidRPr="003266A3">
        <w:rPr>
          <w:smallCaps/>
          <w:sz w:val="16"/>
        </w:rPr>
        <w:t>J. Hull</w:t>
      </w:r>
      <w:r w:rsidRPr="00101F5D">
        <w:rPr>
          <w:smallCaps/>
          <w:spacing w:val="-5"/>
          <w:sz w:val="16"/>
        </w:rPr>
        <w:t>,</w:t>
      </w:r>
      <w:r w:rsidRPr="00101F5D">
        <w:rPr>
          <w:i/>
          <w:spacing w:val="-5"/>
        </w:rPr>
        <w:t xml:space="preserve"> Opzioni,</w:t>
      </w:r>
      <w:r w:rsidR="003266A3">
        <w:rPr>
          <w:i/>
          <w:spacing w:val="-5"/>
        </w:rPr>
        <w:t xml:space="preserve"> </w:t>
      </w:r>
      <w:r w:rsidRPr="003266A3">
        <w:rPr>
          <w:i/>
          <w:spacing w:val="-5"/>
        </w:rPr>
        <w:t>futures e altri derivati</w:t>
      </w:r>
      <w:r w:rsidRPr="00101F5D">
        <w:rPr>
          <w:spacing w:val="-5"/>
        </w:rPr>
        <w:t>, Pearson Education Prentice Hall, 9ª ed. (durante il corso verrà indicato su Blackboard il dettaglio dei capitoli da studiare del testo adottato).</w:t>
      </w:r>
      <w:r w:rsidR="008E7BF9">
        <w:rPr>
          <w:spacing w:val="-5"/>
        </w:rPr>
        <w:t xml:space="preserve"> </w:t>
      </w:r>
      <w:r w:rsidR="00750A43">
        <w:rPr>
          <w:spacing w:val="-5"/>
        </w:rPr>
        <w:t xml:space="preserve"> </w:t>
      </w:r>
      <w:hyperlink r:id="rId8" w:history="1">
        <w:r w:rsidR="00750A43" w:rsidRPr="00750A4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29466B0" w14:textId="77777777" w:rsidR="00101F5D" w:rsidRPr="006345E1" w:rsidRDefault="00101F5D" w:rsidP="003266A3">
      <w:pPr>
        <w:pStyle w:val="Testo1"/>
      </w:pPr>
      <w:r w:rsidRPr="006345E1">
        <w:t>Materiale aggiuntivo verrà indicato o reso disponibile dal docente sulla piattaforma Blackboard.</w:t>
      </w:r>
    </w:p>
    <w:p w14:paraId="423460CE" w14:textId="77777777" w:rsidR="00101F5D" w:rsidRPr="006345E1" w:rsidRDefault="00101F5D" w:rsidP="003266A3">
      <w:pPr>
        <w:pStyle w:val="Testo1"/>
      </w:pPr>
      <w:r w:rsidRPr="006345E1">
        <w:t>Lezioni frontali ed esercitazioni.</w:t>
      </w:r>
    </w:p>
    <w:p w14:paraId="6E7283D8" w14:textId="77777777" w:rsidR="00101F5D" w:rsidRPr="00101F5D" w:rsidRDefault="00101F5D" w:rsidP="00101F5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38DA79" w14:textId="77777777" w:rsidR="00047658" w:rsidRPr="00C106E8" w:rsidRDefault="00047658" w:rsidP="00101F5D">
      <w:pPr>
        <w:pStyle w:val="Testo2"/>
      </w:pPr>
      <w:r w:rsidRPr="00C106E8">
        <w:t>L’esame consiste in domande aperte sia teoriche che esercizi numerici, eventualmente articolate in sottopunti. Ad ogni punto/sottopunto è attribuito un punteggio massimo conseguibile in caso di risposta completa ed esauriente, il punteggio è evidenziato sul testo dell’esame. La somma totale è pari a 32 punti. Punteggi totali superiori a 30 (31 e 32) garantiscono la lode. Il punteggio attribuito ad ogni domanda (o sottopunto) varia in funzione della complessità della domanda stessa.</w:t>
      </w:r>
    </w:p>
    <w:p w14:paraId="3222281A" w14:textId="77777777" w:rsidR="00047658" w:rsidRPr="00C106E8" w:rsidRDefault="00047658" w:rsidP="00101F5D">
      <w:pPr>
        <w:pStyle w:val="Testo2"/>
      </w:pPr>
      <w:r w:rsidRPr="00C106E8">
        <w:t>I</w:t>
      </w:r>
      <w:r w:rsidR="0056318D" w:rsidRPr="00C106E8">
        <w:t>n particolare, la struttura a d</w:t>
      </w:r>
      <w:r w:rsidRPr="00C106E8">
        <w:t>omanda aperta consente di verificare non solo la rispondenza di un eventuale risultato finale, ma anche di valutare il procedimento seguito nonché i commenti e il ragionamento seguito.</w:t>
      </w:r>
    </w:p>
    <w:p w14:paraId="6369469C" w14:textId="77777777" w:rsidR="00047658" w:rsidRPr="00047658" w:rsidRDefault="00047658" w:rsidP="00101F5D">
      <w:pPr>
        <w:pStyle w:val="Testo2"/>
      </w:pPr>
      <w:r w:rsidRPr="00C106E8">
        <w:t>Le domande teoriche, in ordine di difficoltà, sono pensate per testare in primis la conoscenza e, le più articolate, la competenza nello sviluppo dei modelli nonché il pensiero critico</w:t>
      </w:r>
      <w:r w:rsidR="0056318D" w:rsidRPr="00C106E8">
        <w:t xml:space="preserve"> valutando l’impatto delle ipotesi, i pro e contro e la comparazione tra modelli alternativi. Gli esercizi, sempre in ordine di difficoltà e complessità, sono pensati dai più semplici tesi a valutare la capacità di applicare correttamente i prinicipi teorici di base, ai più complessi dove è richiesto un lavoro di comprensione del problema, di definizione dell’obiettivo da raggiungere per finire con la selezione e l’applicazione del modello corretto.</w:t>
      </w:r>
    </w:p>
    <w:p w14:paraId="58C6AE5B" w14:textId="77777777" w:rsidR="00101F5D" w:rsidRPr="00101F5D" w:rsidRDefault="00101F5D" w:rsidP="00101F5D">
      <w:pPr>
        <w:pStyle w:val="Testo2"/>
      </w:pPr>
      <w:r w:rsidRPr="00101F5D">
        <w:t xml:space="preserve">L’esame può anche essere sostenuto mediante prove parziali, che contribuiscono equamente alla determinazione del voto finale: prova intermedia durante la settimana di sospensione delle lezioni e prova di completamento nella sessione d’esame di giugno-luglio. </w:t>
      </w:r>
    </w:p>
    <w:p w14:paraId="591BB12C" w14:textId="77777777" w:rsidR="00101F5D" w:rsidRPr="00101F5D" w:rsidRDefault="00101F5D" w:rsidP="00101F5D">
      <w:pPr>
        <w:pStyle w:val="Testo2"/>
      </w:pPr>
      <w:r w:rsidRPr="00101F5D">
        <w:t>Indicazioni dettagliate riguardo alle modalità delle suddette prove saranno rese disponibili in Blackboard</w:t>
      </w:r>
      <w:r w:rsidR="003266A3">
        <w:t>.</w:t>
      </w:r>
    </w:p>
    <w:p w14:paraId="1668D634" w14:textId="77777777" w:rsidR="00101F5D" w:rsidRDefault="00101F5D" w:rsidP="00101F5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EEE4DF9" w14:textId="60C85635" w:rsidR="00101F5D" w:rsidRDefault="00D37AD9" w:rsidP="00101F5D">
      <w:pPr>
        <w:pStyle w:val="Testo2"/>
      </w:pPr>
      <w:r>
        <w:t>È</w:t>
      </w:r>
      <w:r w:rsidR="00101F5D" w:rsidRPr="006345E1">
        <w:t xml:space="preserve"> richiesta la conoscenza degli argomenti base di Matematica Generale e di Matematica Finanziaria.</w:t>
      </w:r>
    </w:p>
    <w:p w14:paraId="4C388CFC" w14:textId="0CDC1688" w:rsidR="00ED373D" w:rsidRPr="00D37AD9" w:rsidRDefault="00D37AD9" w:rsidP="00D37AD9">
      <w:pPr>
        <w:pStyle w:val="Testo2"/>
        <w:spacing w:before="120"/>
        <w:ind w:firstLine="0"/>
        <w:rPr>
          <w:rFonts w:ascii="Times New Roman" w:hAnsi="Times New Roman"/>
          <w:bCs/>
          <w:i/>
          <w:noProof w:val="0"/>
          <w:szCs w:val="24"/>
        </w:rPr>
      </w:pPr>
      <w:r>
        <w:rPr>
          <w:rFonts w:ascii="Times New Roman" w:hAnsi="Times New Roman"/>
          <w:bCs/>
          <w:i/>
          <w:noProof w:val="0"/>
          <w:szCs w:val="24"/>
        </w:rPr>
        <w:tab/>
      </w:r>
      <w:r w:rsidRPr="00D37AD9">
        <w:rPr>
          <w:rFonts w:ascii="Times New Roman" w:hAnsi="Times New Roman"/>
          <w:bCs/>
          <w:i/>
          <w:noProof w:val="0"/>
          <w:szCs w:val="24"/>
        </w:rPr>
        <w:t>Orario e luogo di ricevimento</w:t>
      </w:r>
    </w:p>
    <w:p w14:paraId="7651DAF7" w14:textId="47E1B2C8" w:rsidR="00907D19" w:rsidRPr="00907D19" w:rsidRDefault="00907D19" w:rsidP="00907D19">
      <w:pPr>
        <w:pStyle w:val="Testo2"/>
      </w:pPr>
      <w:r w:rsidRPr="00907D19">
        <w:lastRenderedPageBreak/>
        <w:t>Il docente riceve gli studenti in presenza presso il suo studio di via necchi 9, secondo piano o da remoto via TEAMS previa richiesta di appuntamento via e-mail</w:t>
      </w:r>
      <w:r>
        <w:t>.</w:t>
      </w:r>
    </w:p>
    <w:sectPr w:rsidR="00907D19" w:rsidRPr="00907D1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2FC3" w14:textId="77777777" w:rsidR="00AB354A" w:rsidRDefault="00AB354A" w:rsidP="008E7BF9">
      <w:pPr>
        <w:spacing w:line="240" w:lineRule="auto"/>
      </w:pPr>
      <w:r>
        <w:separator/>
      </w:r>
    </w:p>
  </w:endnote>
  <w:endnote w:type="continuationSeparator" w:id="0">
    <w:p w14:paraId="6EB0A915" w14:textId="77777777" w:rsidR="00AB354A" w:rsidRDefault="00AB354A" w:rsidP="008E7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31C1" w14:textId="77777777" w:rsidR="00AB354A" w:rsidRDefault="00AB354A" w:rsidP="008E7BF9">
      <w:pPr>
        <w:spacing w:line="240" w:lineRule="auto"/>
      </w:pPr>
      <w:r>
        <w:separator/>
      </w:r>
    </w:p>
  </w:footnote>
  <w:footnote w:type="continuationSeparator" w:id="0">
    <w:p w14:paraId="1A5EB1B1" w14:textId="77777777" w:rsidR="00AB354A" w:rsidRDefault="00AB354A" w:rsidP="008E7BF9">
      <w:pPr>
        <w:spacing w:line="240" w:lineRule="auto"/>
      </w:pPr>
      <w:r>
        <w:continuationSeparator/>
      </w:r>
    </w:p>
  </w:footnote>
  <w:footnote w:id="1">
    <w:p w14:paraId="6DB50060" w14:textId="037B5BAB" w:rsidR="00750A43" w:rsidRDefault="00750A4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43380"/>
    <w:multiLevelType w:val="hybridMultilevel"/>
    <w:tmpl w:val="050296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A88"/>
    <w:multiLevelType w:val="hybridMultilevel"/>
    <w:tmpl w:val="DAF68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965407">
    <w:abstractNumId w:val="1"/>
  </w:num>
  <w:num w:numId="2" w16cid:durableId="39231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84"/>
    <w:rsid w:val="00047658"/>
    <w:rsid w:val="00101F5D"/>
    <w:rsid w:val="00187B99"/>
    <w:rsid w:val="002014DD"/>
    <w:rsid w:val="002D5E17"/>
    <w:rsid w:val="003266A3"/>
    <w:rsid w:val="004D1217"/>
    <w:rsid w:val="004D6008"/>
    <w:rsid w:val="0056318D"/>
    <w:rsid w:val="00640794"/>
    <w:rsid w:val="006F1772"/>
    <w:rsid w:val="00750A43"/>
    <w:rsid w:val="008942E7"/>
    <w:rsid w:val="008A1204"/>
    <w:rsid w:val="008E7BF9"/>
    <w:rsid w:val="00900CCA"/>
    <w:rsid w:val="00907D19"/>
    <w:rsid w:val="00924B77"/>
    <w:rsid w:val="00935284"/>
    <w:rsid w:val="00940DA2"/>
    <w:rsid w:val="009E055C"/>
    <w:rsid w:val="00A74F6F"/>
    <w:rsid w:val="00AB354A"/>
    <w:rsid w:val="00AD2BC2"/>
    <w:rsid w:val="00AD7557"/>
    <w:rsid w:val="00B50C5D"/>
    <w:rsid w:val="00B51253"/>
    <w:rsid w:val="00B525CC"/>
    <w:rsid w:val="00C106E8"/>
    <w:rsid w:val="00CE4A4E"/>
    <w:rsid w:val="00D37AD9"/>
    <w:rsid w:val="00D404F2"/>
    <w:rsid w:val="00DC6A84"/>
    <w:rsid w:val="00E607E6"/>
    <w:rsid w:val="00E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64C47"/>
  <w15:docId w15:val="{7ED4032D-08CC-42A5-BEF6-0CA8EF59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1F5D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rsid w:val="008E7B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7BF9"/>
  </w:style>
  <w:style w:type="character" w:styleId="Rimandonotaapidipagina">
    <w:name w:val="footnote reference"/>
    <w:basedOn w:val="Carpredefinitoparagrafo"/>
    <w:rsid w:val="008E7BF9"/>
    <w:rPr>
      <w:vertAlign w:val="superscript"/>
    </w:rPr>
  </w:style>
  <w:style w:type="character" w:styleId="Collegamentoipertestuale">
    <w:name w:val="Hyperlink"/>
    <w:basedOn w:val="Carpredefinitoparagrafo"/>
    <w:rsid w:val="008E7B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0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opzioni%20futures%20e%20altri%20derivati%20myl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1105-BD95-494F-9275-51A9E93D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649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2023-04-27T09:49:00Z</dcterms:created>
  <dcterms:modified xsi:type="dcterms:W3CDTF">2023-06-29T05:56:00Z</dcterms:modified>
</cp:coreProperties>
</file>