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3CFB" w14:textId="73CC64AE" w:rsidR="00AB3302" w:rsidRPr="009D4F3E" w:rsidRDefault="00DB5F42" w:rsidP="00AB3302">
      <w:pPr>
        <w:tabs>
          <w:tab w:val="clear" w:pos="284"/>
        </w:tabs>
        <w:spacing w:before="480"/>
        <w:ind w:left="284" w:hanging="284"/>
        <w:jc w:val="left"/>
        <w:outlineLvl w:val="0"/>
        <w:rPr>
          <w:rFonts w:ascii="Times" w:hAnsi="Times"/>
          <w:b/>
          <w:noProof/>
          <w:szCs w:val="20"/>
          <w:lang w:val="en-US"/>
        </w:rPr>
      </w:pPr>
      <w:bookmarkStart w:id="0" w:name="_Hlk8650353"/>
      <w:r>
        <w:rPr>
          <w:rFonts w:ascii="Times" w:hAnsi="Times"/>
          <w:b/>
          <w:noProof/>
          <w:szCs w:val="20"/>
          <w:lang w:val="en-US"/>
        </w:rPr>
        <w:t>B</w:t>
      </w:r>
      <w:r w:rsidR="00AB3302" w:rsidRPr="009D4F3E">
        <w:rPr>
          <w:rFonts w:ascii="Times" w:hAnsi="Times"/>
          <w:b/>
          <w:noProof/>
          <w:szCs w:val="20"/>
          <w:lang w:val="en-US"/>
        </w:rPr>
        <w:t>usiness strategy</w:t>
      </w:r>
    </w:p>
    <w:p w14:paraId="5FFD342F" w14:textId="1D543BAD" w:rsidR="00AB3302" w:rsidRPr="00E734DF" w:rsidRDefault="00AB3302" w:rsidP="00AB3302">
      <w:pPr>
        <w:tabs>
          <w:tab w:val="clear" w:pos="284"/>
        </w:tabs>
        <w:jc w:val="left"/>
        <w:outlineLvl w:val="1"/>
        <w:rPr>
          <w:rFonts w:ascii="Times" w:hAnsi="Times"/>
          <w:smallCaps/>
          <w:noProof/>
          <w:sz w:val="18"/>
          <w:szCs w:val="20"/>
          <w:lang w:val="en-US"/>
        </w:rPr>
      </w:pPr>
      <w:r w:rsidRPr="00C7616C">
        <w:rPr>
          <w:rFonts w:ascii="Times" w:hAnsi="Times"/>
          <w:smallCaps/>
          <w:noProof/>
          <w:sz w:val="18"/>
          <w:szCs w:val="20"/>
          <w:lang w:val="en-US"/>
        </w:rPr>
        <w:t>Gr. A-K:</w:t>
      </w:r>
      <w:r w:rsidR="00E734DF" w:rsidRPr="00C7616C">
        <w:rPr>
          <w:rFonts w:ascii="Times" w:hAnsi="Times"/>
          <w:smallCaps/>
          <w:noProof/>
          <w:sz w:val="18"/>
          <w:szCs w:val="20"/>
          <w:lang w:val="en-US"/>
        </w:rPr>
        <w:t xml:space="preserve"> Prof. </w:t>
      </w:r>
      <w:r w:rsidR="00E734DF" w:rsidRPr="00E734DF">
        <w:rPr>
          <w:rFonts w:ascii="Times" w:hAnsi="Times"/>
          <w:smallCaps/>
          <w:noProof/>
          <w:sz w:val="18"/>
          <w:szCs w:val="20"/>
        </w:rPr>
        <w:t>Giacomo Ciambotti</w:t>
      </w:r>
      <w:r w:rsidRPr="00E734DF">
        <w:rPr>
          <w:rFonts w:ascii="Times" w:hAnsi="Times"/>
          <w:smallCaps/>
          <w:noProof/>
          <w:sz w:val="18"/>
          <w:szCs w:val="20"/>
        </w:rPr>
        <w:t xml:space="preserve">; Gr. </w:t>
      </w:r>
      <w:r w:rsidRPr="00777559">
        <w:rPr>
          <w:rFonts w:ascii="Times" w:hAnsi="Times"/>
          <w:smallCaps/>
          <w:noProof/>
          <w:sz w:val="18"/>
          <w:szCs w:val="20"/>
        </w:rPr>
        <w:t xml:space="preserve">L-Z: </w:t>
      </w:r>
      <w:bookmarkEnd w:id="0"/>
      <w:r w:rsidR="00E734DF" w:rsidRPr="00E734DF">
        <w:rPr>
          <w:rFonts w:ascii="Times" w:hAnsi="Times"/>
          <w:smallCaps/>
          <w:noProof/>
          <w:sz w:val="18"/>
          <w:szCs w:val="20"/>
        </w:rPr>
        <w:t xml:space="preserve">Prof. </w:t>
      </w:r>
      <w:r w:rsidR="00E734DF" w:rsidRPr="00C7616C">
        <w:rPr>
          <w:rFonts w:ascii="Times" w:hAnsi="Times"/>
          <w:smallCaps/>
          <w:noProof/>
          <w:sz w:val="18"/>
          <w:szCs w:val="20"/>
          <w:lang w:val="en-US"/>
        </w:rPr>
        <w:t>Marco Minciullo</w:t>
      </w:r>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683293" w14:textId="0908BF91" w:rsidR="00C8062F" w:rsidRPr="00EB21DC" w:rsidRDefault="00C8062F" w:rsidP="00EB21DC">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w:t>
      </w:r>
      <w:r w:rsidR="00E734DF">
        <w:rPr>
          <w:szCs w:val="20"/>
          <w:lang w:val="en-GB"/>
        </w:rPr>
        <w:t>formulating</w:t>
      </w:r>
      <w:r w:rsidRPr="00840713">
        <w:rPr>
          <w:szCs w:val="20"/>
          <w:lang w:val="en-GB"/>
        </w:rPr>
        <w:t xml:space="preserve"> and developing business-level strategies for competitive advantage using relevant frameworks, tools and techniques, and understanding the relative risks underlying those strategies. </w:t>
      </w:r>
    </w:p>
    <w:p w14:paraId="3768DD8A" w14:textId="77777777" w:rsidR="00C8062F" w:rsidRPr="00840713" w:rsidRDefault="00C8062F" w:rsidP="00EB21DC">
      <w:pPr>
        <w:tabs>
          <w:tab w:val="clear" w:pos="284"/>
        </w:tabs>
        <w:spacing w:before="120"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00B6B981" w:rsidR="00577A41" w:rsidRDefault="00A93EED" w:rsidP="00A93EED">
      <w:pPr>
        <w:tabs>
          <w:tab w:val="clear" w:pos="284"/>
        </w:tabs>
        <w:spacing w:line="240" w:lineRule="auto"/>
        <w:rPr>
          <w:szCs w:val="20"/>
          <w:lang w:val="en-GB"/>
        </w:rPr>
      </w:pPr>
      <w:r w:rsidRPr="00A93EED">
        <w:rPr>
          <w:szCs w:val="20"/>
          <w:lang w:val="en-GB"/>
        </w:rPr>
        <w:t xml:space="preserve">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w:t>
      </w:r>
      <w:r w:rsidR="00A2729F">
        <w:rPr>
          <w:szCs w:val="20"/>
          <w:lang w:val="en-GB"/>
        </w:rPr>
        <w:t xml:space="preserve">the concept of </w:t>
      </w:r>
      <w:r w:rsidRPr="00A93EED">
        <w:rPr>
          <w:szCs w:val="20"/>
          <w:lang w:val="en-GB"/>
        </w:rPr>
        <w:t>business model as a necessary addition and extension of strategic management</w:t>
      </w:r>
      <w:r w:rsidR="00A2729F">
        <w:rPr>
          <w:szCs w:val="20"/>
          <w:lang w:val="en-GB"/>
        </w:rPr>
        <w:t xml:space="preserve">, and </w:t>
      </w:r>
      <w:r w:rsidRPr="00A93EED">
        <w:rPr>
          <w:szCs w:val="20"/>
          <w:lang w:val="en-GB"/>
        </w:rPr>
        <w:t xml:space="preserve">attends to context-specific management strategies (e.g., organizational decline, </w:t>
      </w:r>
      <w:r w:rsidR="00A2729F">
        <w:rPr>
          <w:szCs w:val="20"/>
          <w:lang w:val="en-GB"/>
        </w:rPr>
        <w:t>sustainable strategies</w:t>
      </w:r>
      <w:r w:rsidRPr="00A93EED">
        <w:rPr>
          <w:szCs w:val="20"/>
          <w:lang w:val="en-GB"/>
        </w:rPr>
        <w:t xml:space="preserve">, </w:t>
      </w:r>
      <w:r w:rsidR="005C11AB" w:rsidRPr="00A93EED">
        <w:rPr>
          <w:szCs w:val="20"/>
          <w:lang w:val="en-GB"/>
        </w:rPr>
        <w:t>strategies</w:t>
      </w:r>
      <w:r w:rsidR="005C11AB">
        <w:rPr>
          <w:szCs w:val="20"/>
          <w:lang w:val="en-GB"/>
        </w:rPr>
        <w:t xml:space="preserve"> in</w:t>
      </w:r>
      <w:r w:rsidR="005C11AB" w:rsidRPr="00A93EED">
        <w:rPr>
          <w:szCs w:val="20"/>
          <w:lang w:val="en-GB"/>
        </w:rPr>
        <w:t xml:space="preserve"> </w:t>
      </w:r>
      <w:r w:rsidRPr="00A93EED">
        <w:rPr>
          <w:szCs w:val="20"/>
          <w:lang w:val="en-GB"/>
        </w:rPr>
        <w:t>high-tech</w:t>
      </w:r>
      <w:r w:rsidR="005C11AB">
        <w:rPr>
          <w:szCs w:val="20"/>
          <w:lang w:val="en-GB"/>
        </w:rPr>
        <w:t xml:space="preserve"> industries</w:t>
      </w:r>
      <w:r w:rsidRPr="00A93EED">
        <w:rPr>
          <w:szCs w:val="20"/>
          <w:lang w:val="en-GB"/>
        </w:rPr>
        <w:t>).</w:t>
      </w:r>
    </w:p>
    <w:p w14:paraId="5EF930D3" w14:textId="77777777" w:rsidR="00153427" w:rsidRDefault="00153427" w:rsidP="00A93EED">
      <w:pPr>
        <w:tabs>
          <w:tab w:val="clear" w:pos="284"/>
        </w:tabs>
        <w:spacing w:line="240" w:lineRule="auto"/>
        <w:rPr>
          <w:i/>
          <w:iCs/>
          <w:szCs w:val="20"/>
          <w:lang w:val="en-GB"/>
        </w:rPr>
      </w:pPr>
    </w:p>
    <w:p w14:paraId="7418FBA0" w14:textId="08131429" w:rsidR="00A93EED" w:rsidRPr="00126C85" w:rsidRDefault="00A93EED" w:rsidP="00A93EED">
      <w:pPr>
        <w:tabs>
          <w:tab w:val="clear" w:pos="284"/>
        </w:tabs>
        <w:spacing w:line="240" w:lineRule="auto"/>
        <w:rPr>
          <w:i/>
          <w:iCs/>
          <w:szCs w:val="20"/>
          <w:lang w:val="en-GB"/>
        </w:rPr>
      </w:pPr>
      <w:r w:rsidRPr="00126C85">
        <w:rPr>
          <w:i/>
          <w:iCs/>
          <w:szCs w:val="20"/>
          <w:lang w:val="en-GB"/>
        </w:rPr>
        <w:lastRenderedPageBreak/>
        <w:t xml:space="preserve">Part I: The Managerial Strategy Toolkit </w:t>
      </w:r>
    </w:p>
    <w:p w14:paraId="5CDF8B5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strategy definition;</w:t>
      </w:r>
    </w:p>
    <w:p w14:paraId="06F18E4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industry analysis and industry life-cycle;</w:t>
      </w:r>
    </w:p>
    <w:p w14:paraId="753C83E5" w14:textId="77777777" w:rsidR="00A2729F" w:rsidRDefault="00A2729F" w:rsidP="009F7831">
      <w:pPr>
        <w:pStyle w:val="Paragrafoelenco"/>
        <w:numPr>
          <w:ilvl w:val="0"/>
          <w:numId w:val="6"/>
        </w:numPr>
        <w:tabs>
          <w:tab w:val="clear" w:pos="284"/>
        </w:tabs>
        <w:spacing w:line="240" w:lineRule="auto"/>
        <w:rPr>
          <w:iCs/>
          <w:noProof/>
          <w:szCs w:val="20"/>
          <w:lang w:val="en-GB"/>
        </w:rPr>
      </w:pPr>
      <w:r>
        <w:rPr>
          <w:iCs/>
          <w:noProof/>
          <w:szCs w:val="20"/>
          <w:lang w:val="en-GB"/>
        </w:rPr>
        <w:t>resources and capabilities;</w:t>
      </w:r>
    </w:p>
    <w:p w14:paraId="7BEC156D" w14:textId="752DB318"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sources and dimensions of competitive advantage;</w:t>
      </w:r>
    </w:p>
    <w:p w14:paraId="2AFEFC6C"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competitive strategies;</w:t>
      </w:r>
    </w:p>
    <w:p w14:paraId="6418B4B7" w14:textId="68449769" w:rsidR="009F7831" w:rsidRPr="00EB21DC" w:rsidRDefault="00153427" w:rsidP="00A93EED">
      <w:pPr>
        <w:pStyle w:val="Paragrafoelenco"/>
        <w:numPr>
          <w:ilvl w:val="0"/>
          <w:numId w:val="6"/>
        </w:numPr>
        <w:tabs>
          <w:tab w:val="clear" w:pos="284"/>
        </w:tabs>
        <w:spacing w:line="240" w:lineRule="auto"/>
        <w:rPr>
          <w:iCs/>
          <w:noProof/>
          <w:szCs w:val="20"/>
          <w:lang w:val="en-GB"/>
        </w:rPr>
      </w:pPr>
      <w:r w:rsidRPr="009F7831">
        <w:rPr>
          <w:iCs/>
          <w:noProof/>
          <w:szCs w:val="20"/>
          <w:lang w:val="en-GB"/>
        </w:rPr>
        <w:t>innovation and blue ocean strategies;</w:t>
      </w:r>
    </w:p>
    <w:p w14:paraId="70F7FF51" w14:textId="4075CA9B" w:rsidR="00A93EED" w:rsidRPr="00695369" w:rsidRDefault="00A93EED" w:rsidP="00EB21DC">
      <w:pPr>
        <w:tabs>
          <w:tab w:val="clear" w:pos="284"/>
        </w:tabs>
        <w:spacing w:before="120" w:line="240" w:lineRule="auto"/>
        <w:rPr>
          <w:i/>
          <w:iCs/>
          <w:szCs w:val="20"/>
          <w:lang w:val="en-GB"/>
        </w:rPr>
      </w:pPr>
      <w:r w:rsidRPr="00695369">
        <w:rPr>
          <w:i/>
          <w:iCs/>
          <w:szCs w:val="20"/>
          <w:lang w:val="en-GB"/>
        </w:rPr>
        <w:t xml:space="preserve">Part II: </w:t>
      </w:r>
      <w:r w:rsidR="009F7831">
        <w:rPr>
          <w:i/>
          <w:iCs/>
          <w:szCs w:val="20"/>
          <w:lang w:val="en-GB"/>
        </w:rPr>
        <w:t xml:space="preserve">From </w:t>
      </w:r>
      <w:r w:rsidRPr="00695369">
        <w:rPr>
          <w:i/>
          <w:iCs/>
          <w:szCs w:val="20"/>
          <w:lang w:val="en-GB"/>
        </w:rPr>
        <w:t xml:space="preserve">Strategy </w:t>
      </w:r>
      <w:r w:rsidR="009F7831">
        <w:rPr>
          <w:i/>
          <w:iCs/>
          <w:szCs w:val="20"/>
          <w:lang w:val="en-GB"/>
        </w:rPr>
        <w:t>to</w:t>
      </w:r>
      <w:r w:rsidRPr="00695369">
        <w:rPr>
          <w:i/>
          <w:iCs/>
          <w:szCs w:val="20"/>
          <w:lang w:val="en-GB"/>
        </w:rPr>
        <w:t xml:space="preserve"> Business Model</w:t>
      </w:r>
    </w:p>
    <w:p w14:paraId="363425B0" w14:textId="7A72CFA7" w:rsidR="00A93EED" w:rsidRPr="00C54549" w:rsidRDefault="00A2729F" w:rsidP="00C54549">
      <w:pPr>
        <w:pStyle w:val="Paragrafoelenco"/>
        <w:numPr>
          <w:ilvl w:val="0"/>
          <w:numId w:val="6"/>
        </w:numPr>
        <w:tabs>
          <w:tab w:val="clear" w:pos="284"/>
        </w:tabs>
        <w:spacing w:line="240" w:lineRule="auto"/>
        <w:rPr>
          <w:iCs/>
          <w:noProof/>
          <w:szCs w:val="20"/>
          <w:lang w:val="en-GB"/>
        </w:rPr>
      </w:pPr>
      <w:r>
        <w:rPr>
          <w:iCs/>
          <w:noProof/>
          <w:szCs w:val="20"/>
          <w:lang w:val="en-GB"/>
        </w:rPr>
        <w:t>c</w:t>
      </w:r>
      <w:r w:rsidR="00A93EED" w:rsidRPr="00C54549">
        <w:rPr>
          <w:iCs/>
          <w:noProof/>
          <w:szCs w:val="20"/>
          <w:lang w:val="en-GB"/>
        </w:rPr>
        <w:t xml:space="preserve">onnecting </w:t>
      </w:r>
      <w:r>
        <w:rPr>
          <w:iCs/>
          <w:noProof/>
          <w:szCs w:val="20"/>
          <w:lang w:val="en-GB"/>
        </w:rPr>
        <w:t>s</w:t>
      </w:r>
      <w:r w:rsidR="00A93EED" w:rsidRPr="00C54549">
        <w:rPr>
          <w:iCs/>
          <w:noProof/>
          <w:szCs w:val="20"/>
          <w:lang w:val="en-GB"/>
        </w:rPr>
        <w:t>trateg</w:t>
      </w:r>
      <w:r>
        <w:rPr>
          <w:iCs/>
          <w:noProof/>
          <w:szCs w:val="20"/>
          <w:lang w:val="en-GB"/>
        </w:rPr>
        <w:t>y and 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odel</w:t>
      </w:r>
    </w:p>
    <w:p w14:paraId="1CE65372" w14:textId="7EB8C2EA" w:rsidR="0055526C" w:rsidRPr="00C54549"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 xml:space="preserve">odel </w:t>
      </w:r>
      <w:r>
        <w:rPr>
          <w:iCs/>
          <w:noProof/>
          <w:szCs w:val="20"/>
          <w:lang w:val="en-GB"/>
        </w:rPr>
        <w:t>i</w:t>
      </w:r>
      <w:r w:rsidR="00A93EED" w:rsidRPr="00C54549">
        <w:rPr>
          <w:iCs/>
          <w:noProof/>
          <w:szCs w:val="20"/>
          <w:lang w:val="en-GB"/>
        </w:rPr>
        <w:t>nnovation</w:t>
      </w:r>
    </w:p>
    <w:p w14:paraId="0B4CEEDC" w14:textId="033887E3" w:rsidR="0055526C"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s</w:t>
      </w:r>
      <w:r w:rsidR="0055526C" w:rsidRPr="00C54549">
        <w:rPr>
          <w:iCs/>
          <w:noProof/>
          <w:szCs w:val="20"/>
          <w:lang w:val="en-GB"/>
        </w:rPr>
        <w:t xml:space="preserve">ustainable </w:t>
      </w:r>
      <w:r w:rsidR="007B5F6A">
        <w:rPr>
          <w:iCs/>
          <w:noProof/>
          <w:szCs w:val="20"/>
          <w:lang w:val="en-GB"/>
        </w:rPr>
        <w:t xml:space="preserve">strategies and </w:t>
      </w:r>
      <w:r>
        <w:rPr>
          <w:iCs/>
          <w:noProof/>
          <w:szCs w:val="20"/>
          <w:lang w:val="en-GB"/>
        </w:rPr>
        <w:t>b</w:t>
      </w:r>
      <w:r w:rsidR="0055526C" w:rsidRPr="00C54549">
        <w:rPr>
          <w:iCs/>
          <w:noProof/>
          <w:szCs w:val="20"/>
          <w:lang w:val="en-GB"/>
        </w:rPr>
        <w:t>usiness models</w:t>
      </w:r>
    </w:p>
    <w:p w14:paraId="6E258C0B" w14:textId="561C4EA5" w:rsidR="00294F35"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t</w:t>
      </w:r>
      <w:r w:rsidR="00294F35">
        <w:rPr>
          <w:iCs/>
          <w:noProof/>
          <w:szCs w:val="20"/>
          <w:lang w:val="en-GB"/>
        </w:rPr>
        <w:t xml:space="preserve">ech-based </w:t>
      </w:r>
      <w:r>
        <w:rPr>
          <w:iCs/>
          <w:noProof/>
          <w:szCs w:val="20"/>
          <w:lang w:val="en-GB"/>
        </w:rPr>
        <w:t>strategies</w:t>
      </w:r>
    </w:p>
    <w:p w14:paraId="55C4A3CA" w14:textId="77777777" w:rsidR="00DB5F42" w:rsidRPr="009F7831" w:rsidRDefault="00DB5F42" w:rsidP="00DB5F42">
      <w:pPr>
        <w:pStyle w:val="Paragrafoelenco"/>
        <w:numPr>
          <w:ilvl w:val="0"/>
          <w:numId w:val="6"/>
        </w:numPr>
        <w:tabs>
          <w:tab w:val="clear" w:pos="284"/>
        </w:tabs>
        <w:spacing w:line="240" w:lineRule="auto"/>
        <w:rPr>
          <w:iCs/>
          <w:noProof/>
          <w:szCs w:val="20"/>
          <w:lang w:val="en-GB"/>
        </w:rPr>
      </w:pPr>
      <w:r>
        <w:rPr>
          <w:iCs/>
          <w:noProof/>
          <w:szCs w:val="20"/>
          <w:lang w:val="en-GB"/>
        </w:rPr>
        <w:t>global strategies</w:t>
      </w:r>
    </w:p>
    <w:p w14:paraId="0A295B6E" w14:textId="0001982B" w:rsidR="0055526C" w:rsidRPr="002B46FE" w:rsidRDefault="00C7616C" w:rsidP="002B46FE">
      <w:pPr>
        <w:pStyle w:val="Paragrafoelenco"/>
        <w:numPr>
          <w:ilvl w:val="0"/>
          <w:numId w:val="6"/>
        </w:numPr>
        <w:tabs>
          <w:tab w:val="clear" w:pos="284"/>
        </w:tabs>
        <w:spacing w:line="240" w:lineRule="auto"/>
        <w:rPr>
          <w:iCs/>
          <w:noProof/>
          <w:szCs w:val="20"/>
          <w:lang w:val="en-GB"/>
        </w:rPr>
      </w:pPr>
      <w:r>
        <w:rPr>
          <w:iCs/>
          <w:noProof/>
          <w:szCs w:val="20"/>
          <w:lang w:val="en-GB"/>
        </w:rPr>
        <w:t>o</w:t>
      </w:r>
      <w:r w:rsidR="00A93EED" w:rsidRPr="00C54549">
        <w:rPr>
          <w:iCs/>
          <w:noProof/>
          <w:szCs w:val="20"/>
          <w:lang w:val="en-GB"/>
        </w:rPr>
        <w:t xml:space="preserve">rganizational </w:t>
      </w:r>
      <w:r>
        <w:rPr>
          <w:iCs/>
          <w:noProof/>
          <w:szCs w:val="20"/>
          <w:lang w:val="en-GB"/>
        </w:rPr>
        <w:t>d</w:t>
      </w:r>
      <w:r w:rsidR="00A93EED" w:rsidRPr="00C54549">
        <w:rPr>
          <w:iCs/>
          <w:noProof/>
          <w:szCs w:val="20"/>
          <w:lang w:val="en-GB"/>
        </w:rPr>
        <w:t xml:space="preserve">ecline &amp; </w:t>
      </w:r>
      <w:r>
        <w:rPr>
          <w:iCs/>
          <w:noProof/>
          <w:szCs w:val="20"/>
          <w:lang w:val="en-GB"/>
        </w:rPr>
        <w:t>c</w:t>
      </w:r>
      <w:r w:rsidR="00A93EED" w:rsidRPr="00C54549">
        <w:rPr>
          <w:iCs/>
          <w:noProof/>
          <w:szCs w:val="20"/>
          <w:lang w:val="en-GB"/>
        </w:rPr>
        <w:t xml:space="preserve">orporate </w:t>
      </w:r>
      <w:r>
        <w:rPr>
          <w:iCs/>
          <w:noProof/>
          <w:szCs w:val="20"/>
          <w:lang w:val="en-GB"/>
        </w:rPr>
        <w:t>t</w:t>
      </w:r>
      <w:r w:rsidR="00A93EED" w:rsidRPr="00C54549">
        <w:rPr>
          <w:iCs/>
          <w:noProof/>
          <w:szCs w:val="20"/>
          <w:lang w:val="en-GB"/>
        </w:rPr>
        <w:t>urnaround</w:t>
      </w:r>
    </w:p>
    <w:p w14:paraId="1C4743A8" w14:textId="22E09AFE" w:rsidR="00AB3302" w:rsidRPr="00514034" w:rsidRDefault="00AB3302" w:rsidP="00AB3302">
      <w:pPr>
        <w:spacing w:before="240" w:after="120"/>
        <w:rPr>
          <w:b/>
          <w:i/>
          <w:sz w:val="18"/>
          <w:lang w:val="en-US"/>
        </w:rPr>
      </w:pPr>
      <w:r w:rsidRPr="00514034">
        <w:rPr>
          <w:b/>
          <w:i/>
          <w:sz w:val="18"/>
          <w:lang w:val="en-US"/>
        </w:rPr>
        <w:t>READING LIST</w:t>
      </w:r>
      <w:r w:rsidR="009255AB">
        <w:rPr>
          <w:rStyle w:val="Rimandonotaapidipagina"/>
          <w:b/>
          <w:i/>
          <w:sz w:val="18"/>
          <w:lang w:val="en-US"/>
        </w:rPr>
        <w:footnoteReference w:id="1"/>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3" w:name="_Hlk8649875"/>
      <w:r w:rsidRPr="00EE6376">
        <w:rPr>
          <w:rFonts w:ascii="Times" w:hAnsi="Times"/>
          <w:i/>
          <w:noProof/>
          <w:sz w:val="18"/>
          <w:szCs w:val="20"/>
          <w:lang w:val="en-US"/>
        </w:rPr>
        <w:t>Attending students:</w:t>
      </w:r>
    </w:p>
    <w:p w14:paraId="66D1EDC6" w14:textId="0118B015" w:rsidR="00AF7E8A"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R.M. Grant-J. Jordan</w:t>
      </w:r>
      <w:r w:rsidRPr="00906E90">
        <w:rPr>
          <w:rFonts w:ascii="Times" w:hAnsi="Times"/>
          <w:smallCaps/>
          <w:noProof/>
          <w:spacing w:val="-5"/>
          <w:sz w:val="18"/>
          <w:szCs w:val="18"/>
          <w:lang w:val="en-US"/>
        </w:rPr>
        <w:t>,</w:t>
      </w:r>
      <w:r w:rsidRPr="00906E90">
        <w:rPr>
          <w:rFonts w:ascii="Times" w:hAnsi="Times"/>
          <w:i/>
          <w:noProof/>
          <w:spacing w:val="-5"/>
          <w:sz w:val="18"/>
          <w:szCs w:val="18"/>
          <w:lang w:val="en-US"/>
        </w:rPr>
        <w:t xml:space="preserve"> Foundations of Strategy,</w:t>
      </w:r>
      <w:r w:rsidRPr="00906E90">
        <w:rPr>
          <w:rFonts w:ascii="Times" w:hAnsi="Times"/>
          <w:noProof/>
          <w:spacing w:val="-5"/>
          <w:sz w:val="18"/>
          <w:szCs w:val="18"/>
          <w:lang w:val="en-US"/>
        </w:rPr>
        <w:t xml:space="preserve"> Wiley, 2015, 2th ed. </w:t>
      </w:r>
      <w:r w:rsidR="00AF7E8A" w:rsidRPr="00906E90">
        <w:rPr>
          <w:rFonts w:ascii="Times" w:hAnsi="Times"/>
          <w:noProof/>
          <w:spacing w:val="-5"/>
          <w:sz w:val="18"/>
          <w:szCs w:val="18"/>
          <w:lang w:val="en-US"/>
        </w:rPr>
        <w:t>(all chapters);</w:t>
      </w:r>
      <w:r w:rsidR="009255AB">
        <w:rPr>
          <w:rFonts w:ascii="Times" w:hAnsi="Times"/>
          <w:noProof/>
          <w:spacing w:val="-5"/>
          <w:sz w:val="18"/>
          <w:szCs w:val="18"/>
          <w:lang w:val="en-US"/>
        </w:rPr>
        <w:t xml:space="preserve"> </w:t>
      </w:r>
      <w:bookmarkStart w:id="4" w:name="_Hlk138766426"/>
      <w:r w:rsidR="009255AB">
        <w:rPr>
          <w:i/>
          <w:color w:val="0070C0"/>
          <w:sz w:val="18"/>
          <w:szCs w:val="18"/>
        </w:rPr>
        <w:fldChar w:fldCharType="begin"/>
      </w:r>
      <w:r w:rsidR="009255AB">
        <w:rPr>
          <w:i/>
          <w:color w:val="0070C0"/>
          <w:sz w:val="18"/>
          <w:szCs w:val="18"/>
        </w:rPr>
        <w:instrText>HYPERLINK "https://librerie.unicatt.it/scheda-libro/grant/foundations-of-strategy-9781118914700-550746.html"</w:instrText>
      </w:r>
      <w:r w:rsidR="009255AB">
        <w:rPr>
          <w:i/>
          <w:color w:val="0070C0"/>
          <w:sz w:val="18"/>
          <w:szCs w:val="18"/>
        </w:rPr>
      </w:r>
      <w:r w:rsidR="009255AB">
        <w:rPr>
          <w:i/>
          <w:color w:val="0070C0"/>
          <w:sz w:val="18"/>
          <w:szCs w:val="18"/>
        </w:rPr>
        <w:fldChar w:fldCharType="separate"/>
      </w:r>
      <w:r w:rsidR="009255AB" w:rsidRPr="009255AB">
        <w:rPr>
          <w:rStyle w:val="Collegamentoipertestuale"/>
          <w:i/>
          <w:sz w:val="18"/>
          <w:szCs w:val="18"/>
        </w:rPr>
        <w:t>Acquista da VP</w:t>
      </w:r>
      <w:bookmarkEnd w:id="4"/>
      <w:r w:rsidR="009255AB">
        <w:rPr>
          <w:i/>
          <w:color w:val="0070C0"/>
          <w:sz w:val="18"/>
          <w:szCs w:val="18"/>
        </w:rPr>
        <w:fldChar w:fldCharType="end"/>
      </w:r>
    </w:p>
    <w:p w14:paraId="1E9BA9DC" w14:textId="252A0615" w:rsidR="00AB3302"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Additional readings and other integrating teaching materials provided through the Blackboard</w:t>
      </w:r>
      <w:r w:rsidR="006954E8" w:rsidRPr="00906E90">
        <w:rPr>
          <w:sz w:val="18"/>
          <w:szCs w:val="18"/>
          <w:lang w:val="en-GB"/>
        </w:rPr>
        <w:t xml:space="preserve"> </w:t>
      </w:r>
      <w:r w:rsidRPr="00906E90">
        <w:rPr>
          <w:sz w:val="18"/>
          <w:szCs w:val="18"/>
          <w:lang w:val="en-GB"/>
        </w:rPr>
        <w:t>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1330136D" w:rsidR="005D5500" w:rsidRPr="00481392" w:rsidRDefault="00AB3302" w:rsidP="005E1066">
      <w:pPr>
        <w:pStyle w:val="Paragrafoelenco"/>
        <w:numPr>
          <w:ilvl w:val="0"/>
          <w:numId w:val="5"/>
        </w:numPr>
        <w:tabs>
          <w:tab w:val="clear" w:pos="284"/>
        </w:tabs>
        <w:spacing w:line="240" w:lineRule="atLeast"/>
        <w:ind w:left="284" w:hanging="284"/>
        <w:rPr>
          <w:iCs/>
          <w:noProof/>
          <w:spacing w:val="-5"/>
          <w:sz w:val="18"/>
          <w:szCs w:val="18"/>
          <w:lang w:val="en-US"/>
        </w:rPr>
      </w:pPr>
      <w:r w:rsidRPr="00372638">
        <w:rPr>
          <w:smallCaps/>
          <w:noProof/>
          <w:spacing w:val="-5"/>
          <w:sz w:val="16"/>
          <w:szCs w:val="18"/>
          <w:lang w:val="en-US"/>
        </w:rPr>
        <w:t>R.M. Grant-J. Jordan</w:t>
      </w:r>
      <w:r w:rsidRPr="00906E90">
        <w:rPr>
          <w:smallCaps/>
          <w:noProof/>
          <w:spacing w:val="-5"/>
          <w:sz w:val="18"/>
          <w:szCs w:val="18"/>
          <w:lang w:val="en-US"/>
        </w:rPr>
        <w:t>,</w:t>
      </w:r>
      <w:r w:rsidRPr="00906E90">
        <w:rPr>
          <w:i/>
          <w:noProof/>
          <w:spacing w:val="-5"/>
          <w:sz w:val="18"/>
          <w:szCs w:val="18"/>
          <w:lang w:val="en-US"/>
        </w:rPr>
        <w:t xml:space="preserve"> Foundations of Strategy,</w:t>
      </w:r>
      <w:r w:rsidRPr="00906E90">
        <w:rPr>
          <w:noProof/>
          <w:spacing w:val="-5"/>
          <w:sz w:val="18"/>
          <w:szCs w:val="18"/>
          <w:lang w:val="en-US"/>
        </w:rPr>
        <w:t xml:space="preserve"> Wiley, 2015, 2th ed. (all chapters)</w:t>
      </w:r>
      <w:bookmarkEnd w:id="3"/>
      <w:r w:rsidR="005D5500" w:rsidRPr="00906E90">
        <w:rPr>
          <w:noProof/>
          <w:spacing w:val="-5"/>
          <w:sz w:val="18"/>
          <w:szCs w:val="18"/>
          <w:lang w:val="en-US"/>
        </w:rPr>
        <w:t>;</w:t>
      </w:r>
      <w:r w:rsidR="009255AB">
        <w:rPr>
          <w:noProof/>
          <w:spacing w:val="-5"/>
          <w:sz w:val="18"/>
          <w:szCs w:val="18"/>
          <w:lang w:val="en-US"/>
        </w:rPr>
        <w:t xml:space="preserve"> </w:t>
      </w:r>
      <w:hyperlink r:id="rId8" w:history="1">
        <w:r w:rsidR="009255AB" w:rsidRPr="009255AB">
          <w:rPr>
            <w:rStyle w:val="Collegamentoipertestuale"/>
            <w:i/>
            <w:sz w:val="18"/>
            <w:szCs w:val="18"/>
          </w:rPr>
          <w:t>Acquista da VP</w:t>
        </w:r>
      </w:hyperlink>
    </w:p>
    <w:p w14:paraId="425EB324" w14:textId="5D6FC090" w:rsidR="005D5500" w:rsidRPr="00481392" w:rsidRDefault="00EB21DC" w:rsidP="00481392">
      <w:pPr>
        <w:pStyle w:val="Testo1"/>
        <w:spacing w:before="0"/>
        <w:rPr>
          <w:i/>
          <w:iCs/>
          <w:szCs w:val="18"/>
          <w:lang w:val="en-GB"/>
        </w:rPr>
      </w:pPr>
      <w:r>
        <w:rPr>
          <w:i/>
          <w:iCs/>
          <w:szCs w:val="18"/>
          <w:lang w:val="en-GB"/>
        </w:rPr>
        <w:t>-</w:t>
      </w:r>
      <w:r w:rsidR="00481392" w:rsidRPr="00481392">
        <w:rPr>
          <w:i/>
          <w:iCs/>
          <w:szCs w:val="18"/>
          <w:lang w:val="en-GB"/>
        </w:rPr>
        <w:t xml:space="preserve"> </w:t>
      </w:r>
      <w:r w:rsidR="00481392" w:rsidRPr="00481392">
        <w:rPr>
          <w:i/>
          <w:iCs/>
          <w:szCs w:val="18"/>
          <w:lang w:val="en-GB"/>
        </w:rPr>
        <w:tab/>
      </w:r>
      <w:r w:rsidR="005D5500" w:rsidRPr="00EB21DC">
        <w:rPr>
          <w:szCs w:val="18"/>
          <w:lang w:val="en-GB"/>
        </w:rPr>
        <w:t xml:space="preserve">Additional </w:t>
      </w:r>
      <w:r w:rsidR="00481392" w:rsidRPr="00EB21DC">
        <w:rPr>
          <w:szCs w:val="18"/>
          <w:lang w:val="en-GB"/>
        </w:rPr>
        <w:t xml:space="preserve">textbooks and readings </w:t>
      </w:r>
      <w:r w:rsidR="00481392" w:rsidRPr="00EB21DC">
        <w:rPr>
          <w:szCs w:val="18"/>
          <w:lang w:val="en-US"/>
        </w:rPr>
        <w:t xml:space="preserve">will be communicated </w:t>
      </w:r>
      <w:r w:rsidR="005D5500" w:rsidRPr="00EB21DC">
        <w:rPr>
          <w:szCs w:val="18"/>
          <w:lang w:val="en-GB"/>
        </w:rPr>
        <w:t xml:space="preserve">through the </w:t>
      </w:r>
      <w:r w:rsidR="00BC5807" w:rsidRPr="00EB21DC">
        <w:rPr>
          <w:szCs w:val="18"/>
          <w:lang w:val="en-GB"/>
        </w:rPr>
        <w:t xml:space="preserve">Blackboard platform </w:t>
      </w:r>
      <w:r w:rsidR="00481392" w:rsidRPr="00EB21DC">
        <w:rPr>
          <w:szCs w:val="18"/>
          <w:lang w:val="en-GB"/>
        </w:rPr>
        <w:t>before the beginning of the course</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0ECA9C00" w14:textId="77777777" w:rsidR="006F25E3" w:rsidRDefault="006F25E3">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5" w:name="_Hlk8650076"/>
      <w:r>
        <w:rPr>
          <w:rFonts w:ascii="Times" w:hAnsi="Times"/>
          <w:i/>
          <w:noProof/>
          <w:sz w:val="18"/>
          <w:lang w:val="en-US"/>
        </w:rPr>
        <w:t>Attending students:</w:t>
      </w:r>
    </w:p>
    <w:p w14:paraId="650A580D" w14:textId="427897CC" w:rsidR="00363AA8" w:rsidRDefault="00AB3302" w:rsidP="00854BEF">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attending students, the final grade will be based </w:t>
      </w:r>
      <w:r w:rsidR="00854BEF">
        <w:rPr>
          <w:rFonts w:ascii="Times" w:hAnsi="Times"/>
          <w:noProof/>
          <w:sz w:val="18"/>
          <w:szCs w:val="20"/>
          <w:lang w:val="en-US"/>
        </w:rPr>
        <w:t xml:space="preserve">partially </w:t>
      </w:r>
      <w:r w:rsidRPr="00EE6376">
        <w:rPr>
          <w:rFonts w:ascii="Times" w:hAnsi="Times"/>
          <w:noProof/>
          <w:sz w:val="18"/>
          <w:szCs w:val="20"/>
          <w:lang w:val="en-US"/>
        </w:rPr>
        <w:t>(</w:t>
      </w:r>
      <w:r w:rsidR="00BC42AE">
        <w:rPr>
          <w:rFonts w:ascii="Times" w:hAnsi="Times"/>
          <w:noProof/>
          <w:sz w:val="18"/>
          <w:szCs w:val="20"/>
          <w:lang w:val="en-US"/>
        </w:rPr>
        <w:t>5</w:t>
      </w:r>
      <w:r w:rsidRPr="00EE6376">
        <w:rPr>
          <w:rFonts w:ascii="Times" w:hAnsi="Times"/>
          <w:noProof/>
          <w:sz w:val="18"/>
          <w:szCs w:val="20"/>
          <w:lang w:val="en-US"/>
        </w:rPr>
        <w:t xml:space="preserve">0%) on a final exam in written form with a combination of </w:t>
      </w:r>
      <w:r w:rsidR="00947D4F">
        <w:rPr>
          <w:rFonts w:ascii="Times" w:hAnsi="Times"/>
          <w:noProof/>
          <w:sz w:val="18"/>
          <w:szCs w:val="20"/>
          <w:lang w:val="en-US"/>
        </w:rPr>
        <w:t>q</w:t>
      </w:r>
      <w:r w:rsidR="00947D4F" w:rsidRPr="00947D4F">
        <w:rPr>
          <w:rFonts w:ascii="Times" w:hAnsi="Times"/>
          <w:noProof/>
          <w:sz w:val="18"/>
          <w:szCs w:val="20"/>
          <w:lang w:val="en-US"/>
        </w:rPr>
        <w:t xml:space="preserve">uestions with open-ended </w:t>
      </w:r>
      <w:r w:rsidR="00947D4F">
        <w:rPr>
          <w:rFonts w:ascii="Times" w:hAnsi="Times"/>
          <w:noProof/>
          <w:sz w:val="18"/>
          <w:szCs w:val="20"/>
          <w:lang w:val="en-US"/>
        </w:rPr>
        <w:t xml:space="preserve">and </w:t>
      </w:r>
      <w:r w:rsidR="00947D4F" w:rsidRPr="00947D4F">
        <w:rPr>
          <w:rFonts w:ascii="Times" w:hAnsi="Times"/>
          <w:noProof/>
          <w:sz w:val="18"/>
          <w:szCs w:val="20"/>
          <w:lang w:val="en-US"/>
        </w:rPr>
        <w:t>closed-ended answers</w:t>
      </w:r>
      <w:r w:rsidR="00854BEF">
        <w:rPr>
          <w:rFonts w:ascii="Times" w:hAnsi="Times"/>
          <w:noProof/>
          <w:sz w:val="18"/>
          <w:szCs w:val="20"/>
          <w:lang w:val="en-US"/>
        </w:rPr>
        <w:t>, a</w:t>
      </w:r>
      <w:r w:rsidR="00947D4F" w:rsidRPr="00947D4F">
        <w:rPr>
          <w:rFonts w:ascii="Times" w:hAnsi="Times"/>
          <w:noProof/>
          <w:sz w:val="18"/>
          <w:szCs w:val="20"/>
          <w:lang w:val="en-US"/>
        </w:rPr>
        <w:t>nalyses of cases</w:t>
      </w:r>
      <w:r w:rsidR="00854BEF">
        <w:rPr>
          <w:rFonts w:ascii="Times" w:hAnsi="Times"/>
          <w:noProof/>
          <w:sz w:val="18"/>
          <w:szCs w:val="20"/>
          <w:lang w:val="en-US"/>
        </w:rPr>
        <w:t xml:space="preserve"> and w</w:t>
      </w:r>
      <w:r w:rsidR="00947D4F" w:rsidRPr="00947D4F">
        <w:rPr>
          <w:rFonts w:ascii="Times" w:hAnsi="Times"/>
          <w:noProof/>
          <w:sz w:val="18"/>
          <w:szCs w:val="20"/>
          <w:lang w:val="en-US"/>
        </w:rPr>
        <w:t>ritten essays</w:t>
      </w:r>
      <w:r w:rsidR="00D76398">
        <w:rPr>
          <w:rFonts w:ascii="Times" w:hAnsi="Times"/>
          <w:noProof/>
          <w:sz w:val="18"/>
          <w:szCs w:val="20"/>
          <w:lang w:val="en-US"/>
        </w:rPr>
        <w:t>, based on the reading list</w:t>
      </w:r>
      <w:r w:rsidR="00854BEF">
        <w:rPr>
          <w:rFonts w:ascii="Times" w:hAnsi="Times"/>
          <w:noProof/>
          <w:sz w:val="18"/>
          <w:szCs w:val="20"/>
          <w:lang w:val="en-US"/>
        </w:rPr>
        <w:t xml:space="preserve"> for attending students.</w:t>
      </w:r>
      <w:r w:rsidR="00D76398">
        <w:rPr>
          <w:rFonts w:ascii="Times" w:hAnsi="Times"/>
          <w:noProof/>
          <w:sz w:val="18"/>
          <w:szCs w:val="20"/>
          <w:lang w:val="en-US"/>
        </w:rPr>
        <w:t xml:space="preserve"> The exam will</w:t>
      </w:r>
      <w:r>
        <w:rPr>
          <w:rFonts w:ascii="Times" w:hAnsi="Times"/>
          <w:noProof/>
          <w:sz w:val="18"/>
          <w:szCs w:val="20"/>
          <w:lang w:val="en-US"/>
        </w:rPr>
        <w:t xml:space="preserve"> assess the knowledge of </w:t>
      </w:r>
      <w:r w:rsidRPr="00AF49E9">
        <w:rPr>
          <w:rFonts w:ascii="Times" w:hAnsi="Times"/>
          <w:noProof/>
          <w:sz w:val="18"/>
          <w:szCs w:val="20"/>
          <w:lang w:val="en-US"/>
        </w:rPr>
        <w:t>most important theories and frameworks in the business strategy</w:t>
      </w:r>
      <w:r w:rsidRPr="00EE6376">
        <w:rPr>
          <w:rFonts w:ascii="Times" w:hAnsi="Times"/>
          <w:noProof/>
          <w:sz w:val="18"/>
          <w:szCs w:val="20"/>
          <w:lang w:val="en-US"/>
        </w:rPr>
        <w:t xml:space="preserve"> </w:t>
      </w:r>
      <w:r>
        <w:rPr>
          <w:rFonts w:ascii="Times" w:hAnsi="Times"/>
          <w:noProof/>
          <w:sz w:val="18"/>
          <w:szCs w:val="20"/>
          <w:lang w:val="en-US"/>
        </w:rPr>
        <w:t>and the ability of their application</w:t>
      </w:r>
      <w:r w:rsidR="00854BEF">
        <w:rPr>
          <w:rFonts w:ascii="Times" w:hAnsi="Times"/>
          <w:noProof/>
          <w:sz w:val="18"/>
          <w:szCs w:val="20"/>
          <w:lang w:val="en-US"/>
        </w:rPr>
        <w:t xml:space="preserve">. </w:t>
      </w:r>
      <w:r w:rsidR="00363AA8">
        <w:rPr>
          <w:rFonts w:ascii="Times" w:hAnsi="Times"/>
          <w:noProof/>
          <w:sz w:val="18"/>
          <w:szCs w:val="20"/>
          <w:lang w:val="en-US"/>
        </w:rPr>
        <w:t xml:space="preserve">and </w:t>
      </w:r>
    </w:p>
    <w:p w14:paraId="58E0E814" w14:textId="4C2B13A6" w:rsidR="00AB3302" w:rsidRPr="00EE6376" w:rsidRDefault="00363AA8" w:rsidP="00854BEF">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The remaining part of the final grade</w:t>
      </w:r>
      <w:r w:rsidR="00AB3302" w:rsidRPr="00EE6376">
        <w:rPr>
          <w:rFonts w:ascii="Times" w:hAnsi="Times"/>
          <w:noProof/>
          <w:sz w:val="18"/>
          <w:szCs w:val="20"/>
          <w:lang w:val="en-US"/>
        </w:rPr>
        <w:t xml:space="preserve"> (</w:t>
      </w:r>
      <w:r w:rsidR="00BC42AE">
        <w:rPr>
          <w:rFonts w:ascii="Times" w:hAnsi="Times"/>
          <w:noProof/>
          <w:sz w:val="18"/>
          <w:szCs w:val="20"/>
          <w:lang w:val="en-US"/>
        </w:rPr>
        <w:t>5</w:t>
      </w:r>
      <w:r w:rsidR="00AB3302" w:rsidRPr="00EE6376">
        <w:rPr>
          <w:rFonts w:ascii="Times" w:hAnsi="Times"/>
          <w:noProof/>
          <w:sz w:val="18"/>
          <w:szCs w:val="20"/>
          <w:lang w:val="en-US"/>
        </w:rPr>
        <w:t xml:space="preserve">0%) </w:t>
      </w:r>
      <w:r>
        <w:rPr>
          <w:rFonts w:ascii="Times" w:hAnsi="Times"/>
          <w:noProof/>
          <w:sz w:val="18"/>
          <w:szCs w:val="20"/>
          <w:lang w:val="en-US"/>
        </w:rPr>
        <w:t>will be determined by</w:t>
      </w:r>
      <w:r w:rsidR="00AB3302" w:rsidRPr="00EE6376">
        <w:rPr>
          <w:rFonts w:ascii="Times" w:hAnsi="Times"/>
          <w:noProof/>
          <w:sz w:val="18"/>
          <w:szCs w:val="20"/>
          <w:lang w:val="en-US"/>
        </w:rPr>
        <w:t xml:space="preserve"> a group work</w:t>
      </w:r>
      <w:r w:rsidR="00AB3302">
        <w:rPr>
          <w:rFonts w:ascii="Times" w:hAnsi="Times"/>
          <w:noProof/>
          <w:sz w:val="18"/>
          <w:szCs w:val="20"/>
          <w:lang w:val="en-US"/>
        </w:rPr>
        <w:t xml:space="preserve"> aimed at assessing the strategic skills and capacities and communication skills</w:t>
      </w:r>
      <w:r w:rsidR="00AB3302" w:rsidRPr="00EE6376">
        <w:rPr>
          <w:rFonts w:ascii="Times" w:hAnsi="Times"/>
          <w:noProof/>
          <w:sz w:val="18"/>
          <w:szCs w:val="20"/>
          <w:lang w:val="en-US"/>
        </w:rPr>
        <w:t xml:space="preserve">. </w:t>
      </w:r>
      <w:r w:rsidR="00AB3302">
        <w:rPr>
          <w:rFonts w:ascii="Times" w:hAnsi="Times"/>
          <w:noProof/>
          <w:sz w:val="18"/>
          <w:szCs w:val="20"/>
          <w:lang w:val="en-US"/>
        </w:rPr>
        <w:t>More details</w:t>
      </w:r>
      <w:r w:rsidR="00AB3302" w:rsidRPr="00EE6376">
        <w:rPr>
          <w:rFonts w:ascii="Times" w:hAnsi="Times"/>
          <w:noProof/>
          <w:sz w:val="18"/>
          <w:szCs w:val="20"/>
          <w:lang w:val="en-US"/>
        </w:rPr>
        <w:t xml:space="preserve"> will be communicated at the beginning of the course and made available on Blackboard. Students will be qualified as attending students only until the December exam session. Afterwards</w:t>
      </w:r>
      <w:r w:rsidR="00AB3302">
        <w:rPr>
          <w:rFonts w:ascii="Times" w:hAnsi="Times"/>
          <w:noProof/>
          <w:sz w:val="18"/>
          <w:szCs w:val="20"/>
          <w:lang w:val="en-US"/>
        </w:rPr>
        <w:t>,</w:t>
      </w:r>
      <w:r w:rsidR="00AB3302" w:rsidRPr="00EE6376">
        <w:rPr>
          <w:rFonts w:ascii="Times" w:hAnsi="Times"/>
          <w:noProof/>
          <w:sz w:val="18"/>
          <w:szCs w:val="20"/>
          <w:lang w:val="en-US"/>
        </w:rPr>
        <w:t xml:space="preserve">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12443905"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7B5F6A" w:rsidRPr="00EE6376">
        <w:rPr>
          <w:rFonts w:ascii="Times" w:hAnsi="Times"/>
          <w:noProof/>
          <w:sz w:val="18"/>
          <w:szCs w:val="20"/>
          <w:lang w:val="en-US"/>
        </w:rPr>
        <w:t xml:space="preserve">the final grade will be based on a final exam in written form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5"/>
    </w:p>
    <w:p w14:paraId="7137A223" w14:textId="74F7398C" w:rsidR="00481392" w:rsidRPr="00EB21DC" w:rsidRDefault="00EB21DC" w:rsidP="00EB21DC">
      <w:pPr>
        <w:spacing w:before="120"/>
        <w:rPr>
          <w:bCs/>
          <w:i/>
          <w:sz w:val="18"/>
          <w:lang w:val="en-US"/>
        </w:rPr>
      </w:pPr>
      <w:r>
        <w:rPr>
          <w:bCs/>
          <w:i/>
          <w:sz w:val="18"/>
          <w:lang w:val="en-US"/>
        </w:rPr>
        <w:tab/>
      </w:r>
      <w:r w:rsidRPr="00EB21DC">
        <w:rPr>
          <w:bCs/>
          <w:i/>
          <w:sz w:val="18"/>
          <w:lang w:val="en-US"/>
        </w:rPr>
        <w:t>Office hours</w:t>
      </w:r>
    </w:p>
    <w:p w14:paraId="7E54025C" w14:textId="77777777" w:rsidR="00481392" w:rsidRPr="00765CDB" w:rsidRDefault="00481392" w:rsidP="00481392">
      <w:pPr>
        <w:pStyle w:val="Testo2"/>
        <w:rPr>
          <w:lang w:val="en-US"/>
        </w:rPr>
      </w:pPr>
      <w:r>
        <w:rPr>
          <w:lang w:val="en-US"/>
        </w:rPr>
        <w:t>Office hours will be scheduled upon request via email.</w:t>
      </w:r>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77777777" w:rsidR="002D5E17" w:rsidRPr="00AB3302"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and from working in group in a multicultural context.</w:t>
      </w:r>
    </w:p>
    <w:sectPr w:rsidR="002D5E17" w:rsidRPr="00AB33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EA9C" w14:textId="77777777" w:rsidR="009255AB" w:rsidRDefault="009255AB" w:rsidP="009255AB">
      <w:pPr>
        <w:spacing w:line="240" w:lineRule="auto"/>
      </w:pPr>
      <w:r>
        <w:separator/>
      </w:r>
    </w:p>
  </w:endnote>
  <w:endnote w:type="continuationSeparator" w:id="0">
    <w:p w14:paraId="54F67E07" w14:textId="77777777" w:rsidR="009255AB" w:rsidRDefault="009255AB" w:rsidP="00925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Times New Roman"/>
    <w:charset w:val="01"/>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797F" w14:textId="77777777" w:rsidR="009255AB" w:rsidRDefault="009255AB" w:rsidP="009255AB">
      <w:pPr>
        <w:spacing w:line="240" w:lineRule="auto"/>
      </w:pPr>
      <w:r>
        <w:separator/>
      </w:r>
    </w:p>
  </w:footnote>
  <w:footnote w:type="continuationSeparator" w:id="0">
    <w:p w14:paraId="2E5F05B6" w14:textId="77777777" w:rsidR="009255AB" w:rsidRDefault="009255AB" w:rsidP="009255AB">
      <w:pPr>
        <w:spacing w:line="240" w:lineRule="auto"/>
      </w:pPr>
      <w:r>
        <w:continuationSeparator/>
      </w:r>
    </w:p>
  </w:footnote>
  <w:footnote w:id="1">
    <w:p w14:paraId="1DA6BEBE" w14:textId="1BF3E4BB" w:rsidR="009255AB" w:rsidRDefault="009255AB">
      <w:pPr>
        <w:pStyle w:val="Testonotaapidipagina"/>
      </w:pPr>
      <w:r>
        <w:rPr>
          <w:rStyle w:val="Rimandonotaapidipagina"/>
        </w:rPr>
        <w:footnoteRef/>
      </w:r>
      <w:r>
        <w:t xml:space="preserve"> </w:t>
      </w:r>
      <w:bookmarkStart w:id="1" w:name="_Hlk138766412"/>
      <w:bookmarkStart w:id="2" w:name="_Hlk138766734"/>
      <w:r w:rsidRPr="001D7759">
        <w:rPr>
          <w:sz w:val="16"/>
          <w:szCs w:val="16"/>
        </w:rPr>
        <w:t xml:space="preserve">I testi indicati nella bibliografia sono acquistabili presso le librerie di Ateneo; è possibile acquistarli </w:t>
      </w:r>
      <w:r>
        <w:rPr>
          <w:sz w:val="16"/>
          <w:szCs w:val="16"/>
        </w:rPr>
        <w:t>anche presso altri rivenditori.</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C7376D"/>
    <w:multiLevelType w:val="hybridMultilevel"/>
    <w:tmpl w:val="36B08BB0"/>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514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549978">
    <w:abstractNumId w:val="4"/>
  </w:num>
  <w:num w:numId="3" w16cid:durableId="2123766618">
    <w:abstractNumId w:val="0"/>
  </w:num>
  <w:num w:numId="4" w16cid:durableId="1789932003">
    <w:abstractNumId w:val="3"/>
  </w:num>
  <w:num w:numId="5" w16cid:durableId="1925069592">
    <w:abstractNumId w:val="1"/>
  </w:num>
  <w:num w:numId="6" w16cid:durableId="132018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02"/>
    <w:rsid w:val="00061166"/>
    <w:rsid w:val="00126C85"/>
    <w:rsid w:val="00153427"/>
    <w:rsid w:val="00187B99"/>
    <w:rsid w:val="001D07D8"/>
    <w:rsid w:val="002014DD"/>
    <w:rsid w:val="002718BE"/>
    <w:rsid w:val="00294F35"/>
    <w:rsid w:val="002B46FE"/>
    <w:rsid w:val="002D5E17"/>
    <w:rsid w:val="002F2BF0"/>
    <w:rsid w:val="00302EBB"/>
    <w:rsid w:val="00363AA8"/>
    <w:rsid w:val="00370EDF"/>
    <w:rsid w:val="00372638"/>
    <w:rsid w:val="003C22F1"/>
    <w:rsid w:val="004273B9"/>
    <w:rsid w:val="00477CCC"/>
    <w:rsid w:val="00481392"/>
    <w:rsid w:val="004B5623"/>
    <w:rsid w:val="004D1217"/>
    <w:rsid w:val="004D2263"/>
    <w:rsid w:val="004D6008"/>
    <w:rsid w:val="0055526C"/>
    <w:rsid w:val="00577A41"/>
    <w:rsid w:val="005C11AB"/>
    <w:rsid w:val="005D5500"/>
    <w:rsid w:val="00610961"/>
    <w:rsid w:val="00627BDB"/>
    <w:rsid w:val="00640794"/>
    <w:rsid w:val="006432EA"/>
    <w:rsid w:val="00695369"/>
    <w:rsid w:val="006954E8"/>
    <w:rsid w:val="006F1772"/>
    <w:rsid w:val="006F25E3"/>
    <w:rsid w:val="00745B6A"/>
    <w:rsid w:val="007B5F6A"/>
    <w:rsid w:val="007D3F9F"/>
    <w:rsid w:val="008019BA"/>
    <w:rsid w:val="00840713"/>
    <w:rsid w:val="00854BEF"/>
    <w:rsid w:val="008942E7"/>
    <w:rsid w:val="008A1204"/>
    <w:rsid w:val="008C3B6E"/>
    <w:rsid w:val="008E16A3"/>
    <w:rsid w:val="00900CCA"/>
    <w:rsid w:val="00906E90"/>
    <w:rsid w:val="00924B77"/>
    <w:rsid w:val="009255AB"/>
    <w:rsid w:val="00940DA2"/>
    <w:rsid w:val="00947D4F"/>
    <w:rsid w:val="00985B05"/>
    <w:rsid w:val="009E055C"/>
    <w:rsid w:val="009F7831"/>
    <w:rsid w:val="00A2729F"/>
    <w:rsid w:val="00A74F6F"/>
    <w:rsid w:val="00A93EED"/>
    <w:rsid w:val="00AB3302"/>
    <w:rsid w:val="00AD7557"/>
    <w:rsid w:val="00AF7E8A"/>
    <w:rsid w:val="00B01D3D"/>
    <w:rsid w:val="00B50C5D"/>
    <w:rsid w:val="00B51253"/>
    <w:rsid w:val="00B525CC"/>
    <w:rsid w:val="00B939AB"/>
    <w:rsid w:val="00BC42AE"/>
    <w:rsid w:val="00BC5807"/>
    <w:rsid w:val="00C20EFD"/>
    <w:rsid w:val="00C54549"/>
    <w:rsid w:val="00C7616C"/>
    <w:rsid w:val="00C8062F"/>
    <w:rsid w:val="00CA3AD8"/>
    <w:rsid w:val="00CD73F7"/>
    <w:rsid w:val="00D404F2"/>
    <w:rsid w:val="00D76398"/>
    <w:rsid w:val="00DB5F42"/>
    <w:rsid w:val="00E607E6"/>
    <w:rsid w:val="00E734DF"/>
    <w:rsid w:val="00E9090A"/>
    <w:rsid w:val="00EB21DC"/>
    <w:rsid w:val="00EB6B9B"/>
    <w:rsid w:val="00F3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15:chartTrackingRefBased/>
  <w15:docId w15:val="{80B71AE9-819C-491C-A0A1-53D19442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styleId="Testonotaapidipagina">
    <w:name w:val="footnote text"/>
    <w:basedOn w:val="Normale"/>
    <w:link w:val="TestonotaapidipaginaCarattere"/>
    <w:rsid w:val="009255AB"/>
    <w:pPr>
      <w:spacing w:line="240" w:lineRule="auto"/>
    </w:pPr>
    <w:rPr>
      <w:szCs w:val="20"/>
    </w:rPr>
  </w:style>
  <w:style w:type="character" w:customStyle="1" w:styleId="TestonotaapidipaginaCarattere">
    <w:name w:val="Testo nota a piè di pagina Carattere"/>
    <w:basedOn w:val="Carpredefinitoparagrafo"/>
    <w:link w:val="Testonotaapidipagina"/>
    <w:rsid w:val="009255AB"/>
  </w:style>
  <w:style w:type="character" w:styleId="Rimandonotaapidipagina">
    <w:name w:val="footnote reference"/>
    <w:basedOn w:val="Carpredefinitoparagrafo"/>
    <w:rsid w:val="009255AB"/>
    <w:rPr>
      <w:vertAlign w:val="superscript"/>
    </w:rPr>
  </w:style>
  <w:style w:type="character" w:styleId="Collegamentoipertestuale">
    <w:name w:val="Hyperlink"/>
    <w:basedOn w:val="Carpredefinitoparagrafo"/>
    <w:rsid w:val="009255AB"/>
    <w:rPr>
      <w:color w:val="0563C1" w:themeColor="hyperlink"/>
      <w:u w:val="single"/>
    </w:rPr>
  </w:style>
  <w:style w:type="character" w:styleId="Menzionenonrisolta">
    <w:name w:val="Unresolved Mention"/>
    <w:basedOn w:val="Carpredefinitoparagrafo"/>
    <w:uiPriority w:val="99"/>
    <w:semiHidden/>
    <w:unhideWhenUsed/>
    <w:rsid w:val="0092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1428">
      <w:bodyDiv w:val="1"/>
      <w:marLeft w:val="0"/>
      <w:marRight w:val="0"/>
      <w:marTop w:val="0"/>
      <w:marBottom w:val="0"/>
      <w:divBdr>
        <w:top w:val="none" w:sz="0" w:space="0" w:color="auto"/>
        <w:left w:val="none" w:sz="0" w:space="0" w:color="auto"/>
        <w:bottom w:val="none" w:sz="0" w:space="0" w:color="auto"/>
        <w:right w:val="none" w:sz="0" w:space="0" w:color="auto"/>
      </w:divBdr>
    </w:div>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ant/foundations-of-strategy-9781118914700-5507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E298-5EDF-4C34-8F64-667621E6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768</Words>
  <Characters>4710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2023-05-16T14:16:00Z</dcterms:created>
  <dcterms:modified xsi:type="dcterms:W3CDTF">2023-06-27T12:34:00Z</dcterms:modified>
</cp:coreProperties>
</file>