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2560" w14:textId="77777777" w:rsidR="000B3C0C" w:rsidRPr="004657EF" w:rsidRDefault="000B3C0C" w:rsidP="000B3C0C">
      <w:pPr>
        <w:pStyle w:val="Titolo1"/>
      </w:pPr>
      <w:r w:rsidRPr="004657EF">
        <w:t>Organizzazione aziendale</w:t>
      </w:r>
    </w:p>
    <w:p w14:paraId="5ACF6C1D" w14:textId="77777777" w:rsidR="00517DF5" w:rsidRPr="00531431" w:rsidRDefault="00517DF5" w:rsidP="00517DF5">
      <w:pPr>
        <w:pStyle w:val="Titolo2"/>
        <w:rPr>
          <w:szCs w:val="18"/>
        </w:rPr>
      </w:pPr>
      <w:r w:rsidRPr="00531431">
        <w:rPr>
          <w:szCs w:val="18"/>
        </w:rPr>
        <w:t>Prof. Gloria Capoferri; Prof. Daniela Aliberti</w:t>
      </w:r>
    </w:p>
    <w:p w14:paraId="51F1690E" w14:textId="77777777" w:rsidR="000B3C0C" w:rsidRPr="00F272DF" w:rsidRDefault="000B3C0C" w:rsidP="000B3C0C">
      <w:pPr>
        <w:spacing w:before="240" w:after="120" w:line="240" w:lineRule="exact"/>
        <w:rPr>
          <w:b/>
          <w:sz w:val="18"/>
          <w:szCs w:val="18"/>
        </w:rPr>
      </w:pPr>
      <w:r w:rsidRPr="00F272DF">
        <w:rPr>
          <w:b/>
          <w:i/>
          <w:sz w:val="18"/>
          <w:szCs w:val="18"/>
        </w:rPr>
        <w:t>OBIETTIVO DEL CORSO E RISULTATI DI APPRENDIMENTO ATTESI</w:t>
      </w:r>
    </w:p>
    <w:p w14:paraId="355822A4" w14:textId="77777777" w:rsidR="000B3C0C" w:rsidRPr="00963F16" w:rsidRDefault="000B3C0C" w:rsidP="00F42EE7">
      <w:pPr>
        <w:spacing w:line="240" w:lineRule="exact"/>
        <w:rPr>
          <w:szCs w:val="20"/>
        </w:rPr>
      </w:pPr>
      <w:r w:rsidRPr="00963F16">
        <w:rPr>
          <w:szCs w:val="20"/>
        </w:rPr>
        <w:t xml:space="preserve">L’obiettivo prioritario del corso è quello di fornire le basi fondamentali utili per la comprensione e la progettazione dei diversi assetti organizzativi e delle relative implicazioni strategiche e gestionali. A partire dall’evoluzione del pensiero organizzativo e dalla condivisione dei modelli teorici della disciplina, verranno sviluppate le conoscenze applicative relative alle scelte aziendali di progettazione e di governo dei complessi processi di cambiamento e di innovazione organizzativa. </w:t>
      </w:r>
    </w:p>
    <w:p w14:paraId="1135BE47" w14:textId="77777777" w:rsidR="000B3C0C" w:rsidRPr="00963F16" w:rsidRDefault="000B3C0C" w:rsidP="00F42EE7">
      <w:pPr>
        <w:spacing w:before="120" w:line="240" w:lineRule="exact"/>
        <w:rPr>
          <w:szCs w:val="20"/>
        </w:rPr>
      </w:pPr>
      <w:r w:rsidRPr="00963F16">
        <w:rPr>
          <w:szCs w:val="20"/>
        </w:rPr>
        <w:t>Al termine del corso gli studenti saranno in grado di:</w:t>
      </w:r>
    </w:p>
    <w:p w14:paraId="55D17552" w14:textId="77777777" w:rsidR="000B3C0C" w:rsidRPr="00963F1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963F16">
        <w:rPr>
          <w:szCs w:val="20"/>
        </w:rPr>
        <w:t>comprendere e comparare caratteristiche, condizioni di adozione, punti di forza e limiti di differenti tipi di assetti organizzativi;</w:t>
      </w:r>
    </w:p>
    <w:p w14:paraId="5F8EA839" w14:textId="77777777" w:rsidR="000B3C0C" w:rsidRPr="00963F1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963F16">
        <w:rPr>
          <w:szCs w:val="20"/>
        </w:rPr>
        <w:t>comprendere i principi di progettazione delle strutture organizzative quali fonti di vantaggio competitivo per le imprese;</w:t>
      </w:r>
    </w:p>
    <w:p w14:paraId="7ED87FF3" w14:textId="77777777" w:rsidR="000B3C0C" w:rsidRPr="00963F1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963F16">
        <w:rPr>
          <w:szCs w:val="20"/>
        </w:rPr>
        <w:t>riconoscere l’impatto che i fattori di contesto dell’impresa (ambiente, strategia, tecnologia, dimensioni, cultura) hanno sulla configurazione degli assetti organizzativi;</w:t>
      </w:r>
    </w:p>
    <w:p w14:paraId="52B18709" w14:textId="30B2B89C" w:rsidR="000B3C0C" w:rsidRPr="00963F1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963F16">
        <w:rPr>
          <w:szCs w:val="20"/>
        </w:rPr>
        <w:t>elaborare in autonomia valutazioni su soluzioni e strutture organizzative e</w:t>
      </w:r>
      <w:r w:rsidR="004657EF" w:rsidRPr="00963F16">
        <w:rPr>
          <w:szCs w:val="20"/>
        </w:rPr>
        <w:t xml:space="preserve"> </w:t>
      </w:r>
      <w:r w:rsidRPr="00963F16">
        <w:rPr>
          <w:szCs w:val="20"/>
        </w:rPr>
        <w:t xml:space="preserve">applicare i principi della progettazione elaborando proposte al fine di </w:t>
      </w:r>
      <w:r w:rsidR="00726ECA" w:rsidRPr="00963F16">
        <w:rPr>
          <w:szCs w:val="20"/>
        </w:rPr>
        <w:t xml:space="preserve">sviluppare </w:t>
      </w:r>
      <w:r w:rsidRPr="00963F16">
        <w:rPr>
          <w:szCs w:val="20"/>
        </w:rPr>
        <w:t xml:space="preserve">e gestire processi </w:t>
      </w:r>
      <w:r w:rsidR="001F59F1" w:rsidRPr="00963F16">
        <w:rPr>
          <w:szCs w:val="20"/>
        </w:rPr>
        <w:t xml:space="preserve">e obiettivi </w:t>
      </w:r>
      <w:r w:rsidRPr="00963F16">
        <w:rPr>
          <w:szCs w:val="20"/>
        </w:rPr>
        <w:t>di cambiamento</w:t>
      </w:r>
      <w:r w:rsidR="001F59F1" w:rsidRPr="00963F16">
        <w:rPr>
          <w:szCs w:val="20"/>
        </w:rPr>
        <w:t>,</w:t>
      </w:r>
      <w:r w:rsidRPr="00963F16">
        <w:rPr>
          <w:szCs w:val="20"/>
        </w:rPr>
        <w:t xml:space="preserve"> innovazione</w:t>
      </w:r>
      <w:r w:rsidR="001F59F1" w:rsidRPr="00963F16">
        <w:rPr>
          <w:szCs w:val="20"/>
        </w:rPr>
        <w:t xml:space="preserve"> e sostenibilità</w:t>
      </w:r>
      <w:r w:rsidRPr="00963F16">
        <w:rPr>
          <w:szCs w:val="20"/>
        </w:rPr>
        <w:t xml:space="preserve">; </w:t>
      </w:r>
    </w:p>
    <w:p w14:paraId="7F96448D" w14:textId="77777777" w:rsidR="000B3C0C" w:rsidRPr="00963F1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color w:val="000000" w:themeColor="text1"/>
          <w:szCs w:val="20"/>
        </w:rPr>
      </w:pPr>
      <w:r w:rsidRPr="00963F16">
        <w:rPr>
          <w:color w:val="000000" w:themeColor="text1"/>
          <w:szCs w:val="20"/>
        </w:rPr>
        <w:t>comunicare utilizzando il lessico organizzativo utile per distinguere e discutere le componenti dell’organizzazione d’impresa;</w:t>
      </w:r>
    </w:p>
    <w:p w14:paraId="42D0BEB9" w14:textId="77777777" w:rsidR="000B3C0C" w:rsidRPr="00963F1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963F16">
        <w:rPr>
          <w:szCs w:val="20"/>
        </w:rPr>
        <w:t>dimostrare capacità di apprendimento per comprendere con autonomia crescente problemi relativi alla progettazione organizzativa, all’organizzazione del lavoro, al comportamento organizzativo</w:t>
      </w:r>
      <w:r w:rsidR="00F272DF" w:rsidRPr="00963F16">
        <w:rPr>
          <w:szCs w:val="20"/>
        </w:rPr>
        <w:t>, alle pratiche di gestione delle persone nelle organizzazioni</w:t>
      </w:r>
      <w:r w:rsidRPr="00963F16">
        <w:rPr>
          <w:szCs w:val="20"/>
        </w:rPr>
        <w:t xml:space="preserve"> e alla progettazione dei sistemi informativi aziendali.</w:t>
      </w:r>
    </w:p>
    <w:p w14:paraId="5D318F74" w14:textId="77777777" w:rsidR="000B3C0C" w:rsidRPr="00F272DF" w:rsidRDefault="000B3C0C" w:rsidP="000B3C0C">
      <w:pPr>
        <w:spacing w:before="240" w:after="120" w:line="240" w:lineRule="exact"/>
        <w:rPr>
          <w:b/>
          <w:sz w:val="18"/>
          <w:szCs w:val="18"/>
        </w:rPr>
      </w:pPr>
      <w:r w:rsidRPr="00F272DF">
        <w:rPr>
          <w:b/>
          <w:i/>
          <w:sz w:val="18"/>
          <w:szCs w:val="18"/>
        </w:rPr>
        <w:t>PROGRAMMA DEL CORSO</w:t>
      </w:r>
    </w:p>
    <w:p w14:paraId="51594396" w14:textId="77777777" w:rsidR="000B3C0C" w:rsidRPr="00963F16" w:rsidRDefault="000B3C0C" w:rsidP="000B3C0C">
      <w:pPr>
        <w:rPr>
          <w:szCs w:val="20"/>
        </w:rPr>
      </w:pPr>
      <w:r w:rsidRPr="00963F16">
        <w:rPr>
          <w:szCs w:val="20"/>
        </w:rPr>
        <w:t xml:space="preserve">Il programma del corso affronta in logica evolutiva i contenuti della disciplina ed è articolato nelle seguenti parti fondamentali </w:t>
      </w:r>
    </w:p>
    <w:p w14:paraId="6882A14A" w14:textId="51FC8AC1" w:rsidR="00C70CB0" w:rsidRPr="00963F16" w:rsidRDefault="00F42EE7" w:rsidP="00F42EE7">
      <w:pPr>
        <w:rPr>
          <w:i/>
          <w:szCs w:val="20"/>
        </w:rPr>
      </w:pPr>
      <w:r w:rsidRPr="00963F16">
        <w:rPr>
          <w:i/>
          <w:szCs w:val="20"/>
        </w:rPr>
        <w:t>Le dimensioni del sistema organizzativo</w:t>
      </w:r>
    </w:p>
    <w:p w14:paraId="76727EE1" w14:textId="44D17A1B" w:rsidR="00C70CB0" w:rsidRPr="00963F16" w:rsidRDefault="00C70CB0" w:rsidP="00F42EE7">
      <w:pPr>
        <w:pStyle w:val="Paragrafoelenco"/>
        <w:spacing w:line="240" w:lineRule="auto"/>
        <w:ind w:left="284"/>
        <w:jc w:val="left"/>
        <w:rPr>
          <w:szCs w:val="20"/>
        </w:rPr>
      </w:pPr>
      <w:r w:rsidRPr="00963F16">
        <w:rPr>
          <w:szCs w:val="20"/>
        </w:rPr>
        <w:t>L’</w:t>
      </w:r>
      <w:r w:rsidR="00162A10" w:rsidRPr="00963F16">
        <w:rPr>
          <w:color w:val="000000" w:themeColor="text1"/>
          <w:szCs w:val="20"/>
        </w:rPr>
        <w:t>O</w:t>
      </w:r>
      <w:r w:rsidRPr="00963F16">
        <w:rPr>
          <w:szCs w:val="20"/>
        </w:rPr>
        <w:t>rganizzazione come disciplina</w:t>
      </w:r>
    </w:p>
    <w:p w14:paraId="217A6644" w14:textId="77777777" w:rsidR="00C70CB0" w:rsidRPr="00963F16" w:rsidRDefault="00C70CB0" w:rsidP="00F42EE7">
      <w:pPr>
        <w:pStyle w:val="Paragrafoelenco"/>
        <w:spacing w:line="240" w:lineRule="auto"/>
        <w:ind w:left="284"/>
        <w:jc w:val="left"/>
        <w:rPr>
          <w:szCs w:val="20"/>
        </w:rPr>
      </w:pPr>
      <w:r w:rsidRPr="00963F16">
        <w:rPr>
          <w:szCs w:val="20"/>
        </w:rPr>
        <w:t>Le logiche della progettazione e le diverse componenti dell’organizzazione</w:t>
      </w:r>
    </w:p>
    <w:p w14:paraId="6FB20129" w14:textId="77777777" w:rsidR="00C70CB0" w:rsidRPr="00963F16" w:rsidRDefault="00F42EE7" w:rsidP="00F42EE7">
      <w:pPr>
        <w:spacing w:before="120"/>
        <w:rPr>
          <w:i/>
          <w:szCs w:val="20"/>
        </w:rPr>
      </w:pPr>
      <w:r w:rsidRPr="00963F16">
        <w:rPr>
          <w:i/>
          <w:szCs w:val="20"/>
        </w:rPr>
        <w:t>Ambiente, strategia e organizzazione</w:t>
      </w:r>
    </w:p>
    <w:p w14:paraId="1AE38685" w14:textId="77777777" w:rsidR="00C70CB0" w:rsidRPr="00963F16" w:rsidRDefault="00C70CB0" w:rsidP="00F42EE7">
      <w:pPr>
        <w:pStyle w:val="Paragrafoelenco"/>
        <w:spacing w:line="240" w:lineRule="auto"/>
        <w:ind w:left="284"/>
        <w:rPr>
          <w:szCs w:val="20"/>
        </w:rPr>
      </w:pPr>
      <w:r w:rsidRPr="00963F16">
        <w:rPr>
          <w:szCs w:val="20"/>
        </w:rPr>
        <w:t xml:space="preserve">La relazione tra ambiente, strategia e progettazione organizzativa </w:t>
      </w:r>
    </w:p>
    <w:p w14:paraId="25AC6347" w14:textId="449899BC" w:rsidR="00C70CB0" w:rsidRPr="00963F16" w:rsidRDefault="00C70CB0" w:rsidP="00F42EE7">
      <w:pPr>
        <w:pStyle w:val="Paragrafoelenco"/>
        <w:spacing w:line="240" w:lineRule="auto"/>
        <w:ind w:left="284"/>
        <w:rPr>
          <w:szCs w:val="20"/>
        </w:rPr>
      </w:pPr>
      <w:r w:rsidRPr="00963F16">
        <w:rPr>
          <w:szCs w:val="20"/>
        </w:rPr>
        <w:lastRenderedPageBreak/>
        <w:t>L’impatto dell’organizzazione sulla performance aziendale</w:t>
      </w:r>
      <w:r w:rsidR="00904FD3" w:rsidRPr="00963F16">
        <w:rPr>
          <w:szCs w:val="20"/>
        </w:rPr>
        <w:t>: criteri e approcci per la misurazione della performance economica, sociale e ambientale</w:t>
      </w:r>
    </w:p>
    <w:p w14:paraId="61694ECB" w14:textId="77777777" w:rsidR="00C70CB0" w:rsidRPr="00963F16" w:rsidRDefault="00F42EE7" w:rsidP="00F42EE7">
      <w:pPr>
        <w:spacing w:before="120"/>
        <w:rPr>
          <w:i/>
          <w:szCs w:val="20"/>
        </w:rPr>
      </w:pPr>
      <w:r w:rsidRPr="00963F16">
        <w:rPr>
          <w:i/>
          <w:szCs w:val="20"/>
        </w:rPr>
        <w:t xml:space="preserve">La progettazione degli assetti organizzativi </w:t>
      </w:r>
    </w:p>
    <w:p w14:paraId="20009DD6" w14:textId="77777777" w:rsidR="00C70CB0" w:rsidRPr="00963F16" w:rsidRDefault="00C70CB0" w:rsidP="00F42EE7">
      <w:pPr>
        <w:spacing w:line="240" w:lineRule="auto"/>
        <w:ind w:left="284"/>
        <w:rPr>
          <w:szCs w:val="20"/>
        </w:rPr>
      </w:pPr>
      <w:r w:rsidRPr="00963F16">
        <w:rPr>
          <w:szCs w:val="20"/>
        </w:rPr>
        <w:t>Le unità organizzative e i meccanismi di coordinamento</w:t>
      </w:r>
    </w:p>
    <w:p w14:paraId="26DAA7B4" w14:textId="77777777" w:rsidR="00EC085F" w:rsidRPr="00963F16" w:rsidRDefault="00C70CB0" w:rsidP="00F42EE7">
      <w:pPr>
        <w:tabs>
          <w:tab w:val="left" w:pos="284"/>
        </w:tabs>
        <w:spacing w:line="240" w:lineRule="auto"/>
        <w:ind w:left="284"/>
        <w:rPr>
          <w:szCs w:val="20"/>
        </w:rPr>
      </w:pPr>
      <w:r w:rsidRPr="00963F16">
        <w:rPr>
          <w:szCs w:val="20"/>
        </w:rPr>
        <w:t>Le macro-strutture organizzative comparate</w:t>
      </w:r>
    </w:p>
    <w:p w14:paraId="52B3D749" w14:textId="43DFD41F" w:rsidR="00C70CB0" w:rsidRPr="00963F16" w:rsidRDefault="00EC085F" w:rsidP="00F42EE7">
      <w:pPr>
        <w:tabs>
          <w:tab w:val="left" w:pos="284"/>
        </w:tabs>
        <w:spacing w:line="240" w:lineRule="auto"/>
        <w:ind w:left="284"/>
        <w:rPr>
          <w:smallCaps/>
          <w:szCs w:val="20"/>
        </w:rPr>
      </w:pPr>
      <w:r w:rsidRPr="00963F16">
        <w:rPr>
          <w:szCs w:val="20"/>
        </w:rPr>
        <w:t>La progettazione organizzativa</w:t>
      </w:r>
      <w:r w:rsidR="00DB7864" w:rsidRPr="00963F16">
        <w:rPr>
          <w:szCs w:val="20"/>
        </w:rPr>
        <w:t xml:space="preserve"> per la sostenibilità e</w:t>
      </w:r>
      <w:r w:rsidR="00DB7864" w:rsidRPr="00963F16">
        <w:rPr>
          <w:color w:val="000000" w:themeColor="text1"/>
          <w:szCs w:val="20"/>
        </w:rPr>
        <w:t xml:space="preserve"> l’ambiente internazionale </w:t>
      </w:r>
    </w:p>
    <w:p w14:paraId="0B2A2203" w14:textId="77777777" w:rsidR="000102A7" w:rsidRPr="00963F16" w:rsidRDefault="000102A7" w:rsidP="000102A7">
      <w:pPr>
        <w:spacing w:before="120"/>
        <w:rPr>
          <w:i/>
          <w:szCs w:val="20"/>
        </w:rPr>
      </w:pPr>
      <w:r w:rsidRPr="00963F16">
        <w:rPr>
          <w:i/>
          <w:szCs w:val="20"/>
        </w:rPr>
        <w:t>Le relazioni tra organizzazioni</w:t>
      </w:r>
    </w:p>
    <w:p w14:paraId="6A678968" w14:textId="77777777" w:rsidR="000102A7" w:rsidRPr="00963F16" w:rsidRDefault="000102A7" w:rsidP="000102A7">
      <w:pPr>
        <w:spacing w:line="240" w:lineRule="auto"/>
        <w:ind w:left="284"/>
        <w:rPr>
          <w:szCs w:val="20"/>
        </w:rPr>
      </w:pPr>
      <w:r w:rsidRPr="00963F16">
        <w:rPr>
          <w:szCs w:val="20"/>
        </w:rPr>
        <w:t>Le reti organizzative</w:t>
      </w:r>
    </w:p>
    <w:p w14:paraId="210F3D17" w14:textId="77777777" w:rsidR="000102A7" w:rsidRPr="00963F16" w:rsidRDefault="000102A7" w:rsidP="000102A7">
      <w:pPr>
        <w:spacing w:line="240" w:lineRule="auto"/>
        <w:ind w:left="284"/>
        <w:rPr>
          <w:szCs w:val="20"/>
        </w:rPr>
      </w:pPr>
      <w:r w:rsidRPr="00963F16">
        <w:rPr>
          <w:szCs w:val="20"/>
        </w:rPr>
        <w:t>I modelli di relazione e gestione delle diverse configurazioni inter organizzative</w:t>
      </w:r>
    </w:p>
    <w:p w14:paraId="5856DC5E" w14:textId="77777777" w:rsidR="00C70CB0" w:rsidRPr="00963F16" w:rsidRDefault="00F42EE7" w:rsidP="00F42EE7">
      <w:pPr>
        <w:spacing w:before="120"/>
        <w:rPr>
          <w:i/>
          <w:szCs w:val="20"/>
        </w:rPr>
      </w:pPr>
      <w:r w:rsidRPr="00963F16">
        <w:rPr>
          <w:i/>
          <w:szCs w:val="20"/>
        </w:rPr>
        <w:t>La relazione tra tecnologia e progettazione organizzativa</w:t>
      </w:r>
    </w:p>
    <w:p w14:paraId="1750DB9E" w14:textId="77777777" w:rsidR="00C70CB0" w:rsidRPr="00963F16" w:rsidRDefault="00C70CB0" w:rsidP="00F42EE7">
      <w:pPr>
        <w:spacing w:line="240" w:lineRule="auto"/>
        <w:ind w:left="284"/>
        <w:rPr>
          <w:szCs w:val="20"/>
        </w:rPr>
      </w:pPr>
      <w:r w:rsidRPr="00963F16">
        <w:rPr>
          <w:szCs w:val="20"/>
        </w:rPr>
        <w:t>La relazione tra tecnologia e organizzazione</w:t>
      </w:r>
    </w:p>
    <w:p w14:paraId="1405EB3B" w14:textId="77777777" w:rsidR="00C70CB0" w:rsidRPr="00963F16" w:rsidRDefault="00C70CB0" w:rsidP="00F42EE7">
      <w:pPr>
        <w:spacing w:line="240" w:lineRule="auto"/>
        <w:ind w:left="284"/>
        <w:rPr>
          <w:szCs w:val="20"/>
        </w:rPr>
      </w:pPr>
      <w:r w:rsidRPr="00963F16">
        <w:rPr>
          <w:szCs w:val="20"/>
        </w:rPr>
        <w:t>La micro progettazione organizzativa</w:t>
      </w:r>
    </w:p>
    <w:p w14:paraId="2DBC1BB2" w14:textId="2C7DC933" w:rsidR="004657EF" w:rsidRPr="00963F16" w:rsidRDefault="00DB7864" w:rsidP="004657EF">
      <w:pPr>
        <w:spacing w:before="120"/>
        <w:rPr>
          <w:i/>
          <w:color w:val="000000" w:themeColor="text1"/>
          <w:szCs w:val="20"/>
        </w:rPr>
      </w:pPr>
      <w:r w:rsidRPr="00963F16">
        <w:rPr>
          <w:i/>
          <w:color w:val="000000" w:themeColor="text1"/>
          <w:szCs w:val="20"/>
        </w:rPr>
        <w:t>I v</w:t>
      </w:r>
      <w:r w:rsidR="004657EF" w:rsidRPr="00963F16">
        <w:rPr>
          <w:i/>
          <w:color w:val="000000" w:themeColor="text1"/>
          <w:szCs w:val="20"/>
        </w:rPr>
        <w:t>alori e comportamenti nelle organizzazioni</w:t>
      </w:r>
    </w:p>
    <w:p w14:paraId="49E86D1D" w14:textId="60A75AD1" w:rsidR="004D3467" w:rsidRPr="00963F16" w:rsidRDefault="004657EF" w:rsidP="00EC085F">
      <w:pPr>
        <w:spacing w:line="240" w:lineRule="auto"/>
        <w:ind w:firstLine="284"/>
        <w:rPr>
          <w:color w:val="000000" w:themeColor="text1"/>
          <w:szCs w:val="20"/>
        </w:rPr>
      </w:pPr>
      <w:r w:rsidRPr="00963F16">
        <w:rPr>
          <w:color w:val="000000" w:themeColor="text1"/>
          <w:szCs w:val="20"/>
        </w:rPr>
        <w:t>La cultura organizzativa e</w:t>
      </w:r>
      <w:r w:rsidR="009F5DD4" w:rsidRPr="00963F16">
        <w:rPr>
          <w:color w:val="000000" w:themeColor="text1"/>
          <w:szCs w:val="20"/>
        </w:rPr>
        <w:t xml:space="preserve"> i processi di </w:t>
      </w:r>
      <w:r w:rsidRPr="00963F16">
        <w:rPr>
          <w:color w:val="000000" w:themeColor="text1"/>
          <w:szCs w:val="20"/>
        </w:rPr>
        <w:t>gestione delle persone</w:t>
      </w:r>
    </w:p>
    <w:p w14:paraId="43A6EB8B" w14:textId="27DABC7B" w:rsidR="004657EF" w:rsidRPr="00963F16" w:rsidRDefault="00DB7864" w:rsidP="00EC085F">
      <w:pPr>
        <w:spacing w:line="240" w:lineRule="auto"/>
        <w:ind w:firstLine="284"/>
        <w:rPr>
          <w:color w:val="000000" w:themeColor="text1"/>
          <w:szCs w:val="20"/>
        </w:rPr>
      </w:pPr>
      <w:r w:rsidRPr="00963F16">
        <w:rPr>
          <w:color w:val="000000" w:themeColor="text1"/>
          <w:szCs w:val="20"/>
        </w:rPr>
        <w:t>I p</w:t>
      </w:r>
      <w:r w:rsidR="004657EF" w:rsidRPr="00963F16">
        <w:rPr>
          <w:color w:val="000000" w:themeColor="text1"/>
          <w:szCs w:val="20"/>
        </w:rPr>
        <w:t xml:space="preserve">rocessi decisionali e dinamiche di potere </w:t>
      </w:r>
    </w:p>
    <w:p w14:paraId="75A7198C" w14:textId="77777777" w:rsidR="00C70CB0" w:rsidRPr="00963F16" w:rsidRDefault="00F42EE7" w:rsidP="00F42EE7">
      <w:pPr>
        <w:spacing w:before="120"/>
        <w:rPr>
          <w:i/>
          <w:color w:val="000000" w:themeColor="text1"/>
          <w:szCs w:val="20"/>
        </w:rPr>
      </w:pPr>
      <w:r w:rsidRPr="00963F16">
        <w:rPr>
          <w:i/>
          <w:color w:val="000000" w:themeColor="text1"/>
          <w:szCs w:val="20"/>
        </w:rPr>
        <w:t>Il cambiamento e l’innovazione organizzativa</w:t>
      </w:r>
    </w:p>
    <w:p w14:paraId="268BF8D6" w14:textId="77777777" w:rsidR="00C70CB0" w:rsidRPr="00963F16" w:rsidRDefault="00C70CB0" w:rsidP="00F42EE7">
      <w:pPr>
        <w:spacing w:line="240" w:lineRule="auto"/>
        <w:ind w:left="284"/>
        <w:rPr>
          <w:color w:val="000000" w:themeColor="text1"/>
          <w:szCs w:val="20"/>
        </w:rPr>
      </w:pPr>
      <w:r w:rsidRPr="00963F16">
        <w:rPr>
          <w:color w:val="000000" w:themeColor="text1"/>
          <w:szCs w:val="20"/>
        </w:rPr>
        <w:t>Il ciclo di vita aziendale, le forme di del controllo</w:t>
      </w:r>
    </w:p>
    <w:p w14:paraId="62D5EFA6" w14:textId="77777777" w:rsidR="00C70CB0" w:rsidRPr="00963F16" w:rsidRDefault="00C70CB0" w:rsidP="00F42EE7">
      <w:pPr>
        <w:spacing w:line="240" w:lineRule="auto"/>
        <w:ind w:left="284"/>
        <w:rPr>
          <w:color w:val="000000" w:themeColor="text1"/>
          <w:szCs w:val="20"/>
        </w:rPr>
      </w:pPr>
      <w:r w:rsidRPr="00963F16">
        <w:rPr>
          <w:color w:val="000000" w:themeColor="text1"/>
          <w:szCs w:val="20"/>
        </w:rPr>
        <w:t>Le dinamiche del cambiamento e i processi di innovazione organizzativa</w:t>
      </w:r>
    </w:p>
    <w:p w14:paraId="44579F34" w14:textId="3209C52B" w:rsidR="000B3C0C" w:rsidRPr="006115DC" w:rsidRDefault="000B3C0C" w:rsidP="00F42EE7">
      <w:pPr>
        <w:spacing w:before="240" w:after="120" w:line="220" w:lineRule="exact"/>
        <w:rPr>
          <w:b/>
          <w:i/>
          <w:color w:val="000000" w:themeColor="text1"/>
          <w:sz w:val="18"/>
          <w:szCs w:val="18"/>
        </w:rPr>
      </w:pPr>
      <w:r w:rsidRPr="006115DC">
        <w:rPr>
          <w:b/>
          <w:i/>
          <w:color w:val="000000" w:themeColor="text1"/>
          <w:sz w:val="18"/>
          <w:szCs w:val="18"/>
        </w:rPr>
        <w:t>BIBLIOGRAFIA</w:t>
      </w:r>
      <w:r w:rsidR="00534730">
        <w:rPr>
          <w:rStyle w:val="Rimandonotaapidipagina"/>
          <w:b/>
          <w:i/>
          <w:color w:val="000000" w:themeColor="text1"/>
          <w:sz w:val="18"/>
          <w:szCs w:val="18"/>
        </w:rPr>
        <w:footnoteReference w:id="1"/>
      </w:r>
    </w:p>
    <w:p w14:paraId="708356F1" w14:textId="19247E4E" w:rsidR="000B3C0C" w:rsidRPr="006115DC" w:rsidRDefault="000B3C0C" w:rsidP="000B3C0C">
      <w:pPr>
        <w:pStyle w:val="Testo2"/>
        <w:spacing w:line="240" w:lineRule="atLeast"/>
        <w:ind w:left="284" w:hanging="284"/>
        <w:rPr>
          <w:rFonts w:eastAsia="Calibri"/>
          <w:color w:val="000000" w:themeColor="text1"/>
          <w:spacing w:val="-5"/>
          <w:szCs w:val="18"/>
        </w:rPr>
      </w:pPr>
      <w:r w:rsidRPr="006115DC">
        <w:rPr>
          <w:rFonts w:eastAsia="Calibri"/>
          <w:color w:val="000000" w:themeColor="text1"/>
          <w:szCs w:val="18"/>
        </w:rPr>
        <w:t>R. Daft</w:t>
      </w:r>
      <w:r w:rsidRPr="006115DC">
        <w:rPr>
          <w:rFonts w:eastAsia="Calibri"/>
          <w:smallCaps/>
          <w:color w:val="000000" w:themeColor="text1"/>
          <w:spacing w:val="-5"/>
          <w:szCs w:val="18"/>
        </w:rPr>
        <w:t xml:space="preserve">, </w:t>
      </w:r>
      <w:r w:rsidRPr="006115DC">
        <w:rPr>
          <w:rFonts w:eastAsia="Calibri"/>
          <w:i/>
          <w:color w:val="000000" w:themeColor="text1"/>
          <w:spacing w:val="-5"/>
          <w:szCs w:val="18"/>
        </w:rPr>
        <w:t>Organizzazione aziendale,</w:t>
      </w:r>
      <w:r w:rsidRPr="006115DC">
        <w:rPr>
          <w:rFonts w:eastAsia="Calibri"/>
          <w:color w:val="000000" w:themeColor="text1"/>
          <w:spacing w:val="-5"/>
          <w:szCs w:val="18"/>
        </w:rPr>
        <w:t xml:space="preserve"> Maggioli, Milano, </w:t>
      </w:r>
      <w:r w:rsidR="003D602D" w:rsidRPr="006115DC">
        <w:rPr>
          <w:rFonts w:eastAsia="Calibri"/>
          <w:color w:val="000000" w:themeColor="text1"/>
          <w:spacing w:val="-5"/>
          <w:szCs w:val="18"/>
        </w:rPr>
        <w:t>2021</w:t>
      </w:r>
      <w:r w:rsidRPr="006115DC">
        <w:rPr>
          <w:rFonts w:eastAsia="Calibri"/>
          <w:color w:val="000000" w:themeColor="text1"/>
          <w:spacing w:val="-5"/>
          <w:szCs w:val="18"/>
        </w:rPr>
        <w:t xml:space="preserve">, </w:t>
      </w:r>
      <w:r w:rsidR="003D602D" w:rsidRPr="006115DC">
        <w:rPr>
          <w:rFonts w:eastAsia="Calibri"/>
          <w:color w:val="000000" w:themeColor="text1"/>
          <w:spacing w:val="-5"/>
          <w:szCs w:val="18"/>
        </w:rPr>
        <w:t xml:space="preserve">Settima </w:t>
      </w:r>
      <w:r w:rsidRPr="006115DC">
        <w:rPr>
          <w:rFonts w:eastAsia="Calibri"/>
          <w:color w:val="000000" w:themeColor="text1"/>
          <w:spacing w:val="-5"/>
          <w:szCs w:val="18"/>
        </w:rPr>
        <w:t>Edizione.</w:t>
      </w:r>
      <w:r w:rsidR="00534730">
        <w:rPr>
          <w:rFonts w:eastAsia="Calibri"/>
          <w:color w:val="000000" w:themeColor="text1"/>
          <w:spacing w:val="-5"/>
          <w:szCs w:val="18"/>
        </w:rPr>
        <w:t xml:space="preserve"> </w:t>
      </w:r>
      <w:hyperlink r:id="rId8" w:history="1">
        <w:r w:rsidR="00534730" w:rsidRPr="0053473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9AB5F92" w14:textId="17DC749E" w:rsidR="000B3C0C" w:rsidRPr="006115DC" w:rsidRDefault="000B3C0C" w:rsidP="00F42EE7">
      <w:pPr>
        <w:pStyle w:val="Testo1"/>
        <w:spacing w:before="0"/>
        <w:rPr>
          <w:rFonts w:eastAsia="Calibri"/>
          <w:color w:val="000000" w:themeColor="text1"/>
          <w:szCs w:val="18"/>
        </w:rPr>
      </w:pPr>
      <w:r w:rsidRPr="006115DC">
        <w:rPr>
          <w:rFonts w:eastAsia="Calibri"/>
          <w:color w:val="000000" w:themeColor="text1"/>
          <w:szCs w:val="18"/>
        </w:rPr>
        <w:t xml:space="preserve">Articoli, casi di studio e materiale di approfondimento verranno resi disponibili in aula e on-line </w:t>
      </w:r>
      <w:r w:rsidR="009A3D4F" w:rsidRPr="006115DC">
        <w:rPr>
          <w:rFonts w:eastAsia="Calibri"/>
          <w:color w:val="000000" w:themeColor="text1"/>
          <w:szCs w:val="18"/>
        </w:rPr>
        <w:t xml:space="preserve">attraverso la </w:t>
      </w:r>
      <w:r w:rsidRPr="006115DC">
        <w:rPr>
          <w:rFonts w:eastAsia="Calibri"/>
          <w:color w:val="000000" w:themeColor="text1"/>
          <w:szCs w:val="18"/>
        </w:rPr>
        <w:t xml:space="preserve"> piattaforma </w:t>
      </w:r>
      <w:r w:rsidRPr="006115DC">
        <w:rPr>
          <w:rFonts w:eastAsia="Calibri"/>
          <w:i/>
          <w:color w:val="000000" w:themeColor="text1"/>
          <w:szCs w:val="18"/>
        </w:rPr>
        <w:t>Blackboard</w:t>
      </w:r>
      <w:r w:rsidRPr="006115DC">
        <w:rPr>
          <w:rFonts w:eastAsia="Calibri"/>
          <w:color w:val="000000" w:themeColor="text1"/>
          <w:szCs w:val="18"/>
        </w:rPr>
        <w:t xml:space="preserve"> riservata agli studenti iscritti all’insegnamento.</w:t>
      </w:r>
    </w:p>
    <w:p w14:paraId="3E7E6657" w14:textId="77777777" w:rsidR="000B3C0C" w:rsidRPr="006115DC" w:rsidRDefault="000B3C0C" w:rsidP="000B3C0C">
      <w:pPr>
        <w:spacing w:before="240" w:after="120" w:line="220" w:lineRule="exact"/>
        <w:rPr>
          <w:b/>
          <w:i/>
          <w:color w:val="000000" w:themeColor="text1"/>
          <w:sz w:val="18"/>
          <w:szCs w:val="18"/>
        </w:rPr>
      </w:pPr>
      <w:r w:rsidRPr="006115DC">
        <w:rPr>
          <w:b/>
          <w:i/>
          <w:color w:val="000000" w:themeColor="text1"/>
          <w:sz w:val="18"/>
          <w:szCs w:val="18"/>
        </w:rPr>
        <w:t>DIDATTICA DEL CORSO</w:t>
      </w:r>
    </w:p>
    <w:p w14:paraId="1228ECA7" w14:textId="77777777" w:rsidR="000B3C0C" w:rsidRPr="00F272DF" w:rsidRDefault="000B3C0C" w:rsidP="000B3C0C">
      <w:pPr>
        <w:pStyle w:val="Testo2"/>
        <w:rPr>
          <w:szCs w:val="18"/>
        </w:rPr>
      </w:pPr>
      <w:r w:rsidRPr="00F272DF">
        <w:rPr>
          <w:szCs w:val="18"/>
        </w:rPr>
        <w:t xml:space="preserve">Lezioni frontali, analisi e discussioni di </w:t>
      </w:r>
      <w:r w:rsidR="004657EF" w:rsidRPr="00F272DF">
        <w:rPr>
          <w:i/>
          <w:szCs w:val="18"/>
        </w:rPr>
        <w:t>incident</w:t>
      </w:r>
      <w:r w:rsidR="004657EF" w:rsidRPr="00F272DF">
        <w:rPr>
          <w:szCs w:val="18"/>
        </w:rPr>
        <w:t xml:space="preserve"> e casi aziendali</w:t>
      </w:r>
      <w:r w:rsidRPr="00F272DF">
        <w:rPr>
          <w:szCs w:val="18"/>
        </w:rPr>
        <w:t>, esercitazioni, testimonianze aziendali.</w:t>
      </w:r>
    </w:p>
    <w:p w14:paraId="470B7C5D" w14:textId="709C7E91" w:rsidR="000B3C0C" w:rsidRPr="00F272DF" w:rsidRDefault="000B3C0C" w:rsidP="000B3C0C">
      <w:pPr>
        <w:pStyle w:val="Testo2"/>
        <w:rPr>
          <w:szCs w:val="18"/>
        </w:rPr>
      </w:pPr>
      <w:r w:rsidRPr="00F272DF">
        <w:rPr>
          <w:szCs w:val="18"/>
        </w:rPr>
        <w:t xml:space="preserve">Durante il corso gli aggiornamenti, le indicazioni sulla didattica, i materiali di approfondimento e di supporto allo studio sono resi disponibili attraverso la piattaforma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>.</w:t>
      </w:r>
    </w:p>
    <w:p w14:paraId="1EAED062" w14:textId="77777777" w:rsidR="000B3C0C" w:rsidRPr="00F272DF" w:rsidRDefault="000B3C0C" w:rsidP="000B3C0C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METODO E CRITERI DI VALUTAZIONE</w:t>
      </w:r>
    </w:p>
    <w:p w14:paraId="337CF5DA" w14:textId="1AE29405" w:rsidR="00126B8E" w:rsidRPr="00F272DF" w:rsidRDefault="00126B8E" w:rsidP="00126B8E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color w:val="201F1E"/>
          <w:sz w:val="18"/>
          <w:szCs w:val="18"/>
        </w:rPr>
      </w:pPr>
      <w:r w:rsidRPr="00F272DF">
        <w:rPr>
          <w:color w:val="201F1E"/>
          <w:sz w:val="18"/>
          <w:szCs w:val="18"/>
          <w:bdr w:val="none" w:sz="0" w:space="0" w:color="auto" w:frame="1"/>
        </w:rPr>
        <w:t>I </w:t>
      </w:r>
      <w:r w:rsidRPr="00F272DF">
        <w:rPr>
          <w:bCs/>
          <w:i/>
          <w:color w:val="201F1E"/>
          <w:sz w:val="18"/>
          <w:szCs w:val="18"/>
          <w:bdr w:val="none" w:sz="0" w:space="0" w:color="auto" w:frame="1"/>
        </w:rPr>
        <w:t>criteri di valutazione</w:t>
      </w:r>
      <w:r w:rsidRPr="00F272DF">
        <w:rPr>
          <w:color w:val="201F1E"/>
          <w:sz w:val="18"/>
          <w:szCs w:val="18"/>
          <w:bdr w:val="none" w:sz="0" w:space="0" w:color="auto" w:frame="1"/>
        </w:rPr>
        <w:t> </w:t>
      </w:r>
      <w:r w:rsidR="00DB7864">
        <w:rPr>
          <w:color w:val="201F1E"/>
          <w:sz w:val="18"/>
          <w:szCs w:val="18"/>
          <w:bdr w:val="none" w:sz="0" w:space="0" w:color="auto" w:frame="1"/>
        </w:rPr>
        <w:t>sono</w:t>
      </w:r>
      <w:r w:rsidRPr="00F272DF">
        <w:rPr>
          <w:color w:val="201F1E"/>
          <w:sz w:val="18"/>
          <w:szCs w:val="18"/>
          <w:bdr w:val="none" w:sz="0" w:space="0" w:color="auto" w:frame="1"/>
        </w:rPr>
        <w:t xml:space="preserve"> i seguenti:</w:t>
      </w:r>
    </w:p>
    <w:p w14:paraId="5BF07327" w14:textId="77777777" w:rsidR="00126B8E" w:rsidRPr="00F272DF" w:rsidRDefault="00126B8E" w:rsidP="00126B8E">
      <w:pPr>
        <w:pStyle w:val="xtesto2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/>
          <w:sz w:val="18"/>
          <w:szCs w:val="18"/>
        </w:rPr>
      </w:pPr>
      <w:r w:rsidRPr="00F272DF">
        <w:rPr>
          <w:sz w:val="18"/>
          <w:szCs w:val="18"/>
        </w:rPr>
        <w:t>acquisizione solida delle conoscenze relative alle diverse aree di contenuto;</w:t>
      </w:r>
    </w:p>
    <w:p w14:paraId="327E7988" w14:textId="77777777" w:rsidR="00126B8E" w:rsidRPr="00F272DF" w:rsidRDefault="00126B8E" w:rsidP="00126B8E">
      <w:pPr>
        <w:pStyle w:val="Testo2"/>
        <w:numPr>
          <w:ilvl w:val="0"/>
          <w:numId w:val="5"/>
        </w:numPr>
        <w:rPr>
          <w:szCs w:val="18"/>
        </w:rPr>
      </w:pPr>
      <w:r w:rsidRPr="00F272DF">
        <w:rPr>
          <w:szCs w:val="18"/>
        </w:rPr>
        <w:lastRenderedPageBreak/>
        <w:t>chiarezza, precisione e pertinenza nella comunicazione dei contenuti appresi e utilizzo del liguaggio tecnico appropriato;</w:t>
      </w:r>
    </w:p>
    <w:p w14:paraId="3909327E" w14:textId="77777777" w:rsidR="00126B8E" w:rsidRPr="00F272DF" w:rsidRDefault="00126B8E" w:rsidP="00126B8E">
      <w:pPr>
        <w:pStyle w:val="Testo2"/>
        <w:numPr>
          <w:ilvl w:val="0"/>
          <w:numId w:val="5"/>
        </w:numPr>
        <w:rPr>
          <w:szCs w:val="18"/>
        </w:rPr>
      </w:pPr>
      <w:r w:rsidRPr="00F272DF">
        <w:rPr>
          <w:szCs w:val="18"/>
        </w:rPr>
        <w:t>capacità di correlare i diversi contenuti in una visione unitaria e sistemica;</w:t>
      </w:r>
    </w:p>
    <w:p w14:paraId="0CEB5A10" w14:textId="2765534A" w:rsidR="00126B8E" w:rsidRPr="00B06E91" w:rsidRDefault="00F272DF" w:rsidP="00B06E91">
      <w:pPr>
        <w:pStyle w:val="Testo2"/>
        <w:numPr>
          <w:ilvl w:val="0"/>
          <w:numId w:val="5"/>
        </w:numPr>
        <w:rPr>
          <w:szCs w:val="18"/>
        </w:rPr>
      </w:pPr>
      <w:r>
        <w:rPr>
          <w:szCs w:val="18"/>
        </w:rPr>
        <w:t>attitudine all’</w:t>
      </w:r>
      <w:r w:rsidR="00126B8E" w:rsidRPr="00F272DF">
        <w:rPr>
          <w:szCs w:val="18"/>
        </w:rPr>
        <w:t>analisi e diagnosi dei casi e delle situazioni reali proposte attraverso</w:t>
      </w:r>
      <w:r>
        <w:rPr>
          <w:szCs w:val="18"/>
        </w:rPr>
        <w:t xml:space="preserve"> </w:t>
      </w:r>
      <w:r w:rsidR="00126B8E" w:rsidRPr="00F272DF">
        <w:rPr>
          <w:szCs w:val="18"/>
        </w:rPr>
        <w:t xml:space="preserve"> </w:t>
      </w:r>
      <w:r>
        <w:rPr>
          <w:szCs w:val="18"/>
        </w:rPr>
        <w:t xml:space="preserve">la scelta dei </w:t>
      </w:r>
      <w:r w:rsidR="00126B8E" w:rsidRPr="00F272DF">
        <w:rPr>
          <w:szCs w:val="18"/>
        </w:rPr>
        <w:t xml:space="preserve">modelli </w:t>
      </w:r>
      <w:r>
        <w:rPr>
          <w:szCs w:val="18"/>
        </w:rPr>
        <w:t>appropriati</w:t>
      </w:r>
      <w:r w:rsidR="00126B8E" w:rsidRPr="00F272DF">
        <w:rPr>
          <w:szCs w:val="18"/>
        </w:rPr>
        <w:t xml:space="preserve">. </w:t>
      </w:r>
    </w:p>
    <w:p w14:paraId="3BEACAEA" w14:textId="507B366B" w:rsidR="000B3C0C" w:rsidRPr="00F272DF" w:rsidRDefault="000B3C0C" w:rsidP="00B06E91">
      <w:pPr>
        <w:pStyle w:val="Testo2"/>
        <w:spacing w:before="240"/>
        <w:rPr>
          <w:szCs w:val="18"/>
        </w:rPr>
      </w:pPr>
      <w:r w:rsidRPr="00EF7E91">
        <w:rPr>
          <w:szCs w:val="18"/>
        </w:rPr>
        <w:t xml:space="preserve">Per gli </w:t>
      </w:r>
      <w:r w:rsidRPr="00EF7E91">
        <w:rPr>
          <w:i/>
          <w:szCs w:val="18"/>
        </w:rPr>
        <w:t>studenti frequentanti</w:t>
      </w:r>
      <w:r w:rsidRPr="00EF7E91">
        <w:rPr>
          <w:szCs w:val="18"/>
        </w:rPr>
        <w:t xml:space="preserve">, l’esame si svolge attraverso due prove scritte: una prova intermedia (relativa alla prima parte del programma, che si svolge durante la settimana dedicata alle prove intermedie secondo il calendario che è comunicato via </w:t>
      </w:r>
      <w:r w:rsidRPr="00EF7E91">
        <w:rPr>
          <w:i/>
          <w:szCs w:val="18"/>
        </w:rPr>
        <w:t>Blackboard</w:t>
      </w:r>
      <w:r w:rsidRPr="00EF7E91">
        <w:rPr>
          <w:szCs w:val="18"/>
        </w:rPr>
        <w:t>) e una prova finale (relativa seconda parte del programma, che si svolge in occasione del primo</w:t>
      </w:r>
      <w:r w:rsidR="009F5DD4" w:rsidRPr="00EF7E91">
        <w:rPr>
          <w:szCs w:val="18"/>
        </w:rPr>
        <w:t xml:space="preserve"> o, alternativamente, del secondo </w:t>
      </w:r>
      <w:r w:rsidRPr="00EF7E91">
        <w:rPr>
          <w:szCs w:val="18"/>
        </w:rPr>
        <w:t xml:space="preserve">appello d’esame della sessione estiva, secondo il calendario accademico). Le due prove concorrono ciascuna per il 50% alla valutazione complessiva. Il programma di esame verte su quanto discusso e condiviso in aula e sulle parti del testo di riferimento secondo il syllabus comunicato in </w:t>
      </w:r>
      <w:r w:rsidRPr="00EF7E91">
        <w:rPr>
          <w:i/>
          <w:szCs w:val="18"/>
        </w:rPr>
        <w:t>Blackboard</w:t>
      </w:r>
      <w:r w:rsidRPr="00EF7E91">
        <w:rPr>
          <w:szCs w:val="18"/>
        </w:rPr>
        <w:t xml:space="preserve">. Le prove sono scritte si articolano in domande aperte e strutturate, analisi di brevi casi aziendali ed esercizi </w:t>
      </w:r>
      <w:r w:rsidRPr="00EF7E91">
        <w:rPr>
          <w:i/>
          <w:szCs w:val="18"/>
        </w:rPr>
        <w:t>class specific</w:t>
      </w:r>
      <w:r w:rsidRPr="00EF7E91">
        <w:rPr>
          <w:szCs w:val="18"/>
        </w:rPr>
        <w:t xml:space="preserve"> e sono volte a verificare le conoscenze e le capacità oggetto del processo di apprendimento</w:t>
      </w:r>
      <w:r w:rsidR="00DB7864" w:rsidRPr="00EF7E91">
        <w:rPr>
          <w:szCs w:val="18"/>
        </w:rPr>
        <w:t>. E’</w:t>
      </w:r>
      <w:r w:rsidR="009F5DD4" w:rsidRPr="00EF7E91">
        <w:rPr>
          <w:szCs w:val="18"/>
        </w:rPr>
        <w:t xml:space="preserve"> richiesto di rispondere a tutte le domande proposte.</w:t>
      </w:r>
    </w:p>
    <w:p w14:paraId="3019BA86" w14:textId="515E1F95" w:rsidR="000B3C0C" w:rsidRPr="00F272DF" w:rsidRDefault="000B3C0C" w:rsidP="00F272DF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Per gli </w:t>
      </w:r>
      <w:r w:rsidRPr="00F272DF">
        <w:rPr>
          <w:i/>
          <w:szCs w:val="18"/>
        </w:rPr>
        <w:t>studenti non frequentanti</w:t>
      </w:r>
      <w:r w:rsidRPr="00F272DF">
        <w:rPr>
          <w:szCs w:val="18"/>
        </w:rPr>
        <w:t>, l’esame si svolge attraverso una prova scritta con domande aperte e strutturate, analisi di brevi casi aziendali ed esercizi. Il programma d’esame verte su tutti i contenuti del testo adottato ed è richiesto di rispondere a tutte le domande proposte.</w:t>
      </w:r>
      <w:r w:rsidR="009F5DD4">
        <w:rPr>
          <w:szCs w:val="18"/>
        </w:rPr>
        <w:t xml:space="preserve"> </w:t>
      </w:r>
      <w:r w:rsidRPr="00F272DF">
        <w:rPr>
          <w:szCs w:val="18"/>
        </w:rPr>
        <w:t>È possibile sostenere l'esame con modalità non frequentante in qualunque appello ufficiale previsto dal calendario accademico.</w:t>
      </w:r>
    </w:p>
    <w:p w14:paraId="66157308" w14:textId="77777777" w:rsidR="000B3C0C" w:rsidRPr="00F272DF" w:rsidRDefault="000B3C0C" w:rsidP="000B3C0C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Indicazioni dettagliate riguardo alle prove saranno rese disponibili su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>.</w:t>
      </w:r>
    </w:p>
    <w:p w14:paraId="5FEAD744" w14:textId="77777777" w:rsidR="000B3C0C" w:rsidRPr="00F272DF" w:rsidRDefault="000B3C0C" w:rsidP="000B3C0C">
      <w:pPr>
        <w:spacing w:before="240" w:after="120" w:line="24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AVVERTENZE E PREREQUISITI</w:t>
      </w:r>
    </w:p>
    <w:p w14:paraId="37F98C6B" w14:textId="77777777" w:rsidR="00EF7E91" w:rsidRDefault="00F272DF" w:rsidP="00EF7E91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Si consiglia la partecipazione attiva alle lezioni per accompagnare il processo di apprendimento delle conoscenze e delle capacità oggetto del corso. </w:t>
      </w:r>
    </w:p>
    <w:p w14:paraId="21A18ED1" w14:textId="2807DE89" w:rsidR="00EF7E91" w:rsidRPr="00963F16" w:rsidRDefault="00963F16" w:rsidP="00963F16">
      <w:pPr>
        <w:pStyle w:val="Testo2"/>
        <w:spacing w:before="120"/>
        <w:rPr>
          <w:bCs/>
          <w:i/>
          <w:szCs w:val="18"/>
        </w:rPr>
      </w:pPr>
      <w:r>
        <w:rPr>
          <w:bCs/>
          <w:i/>
          <w:szCs w:val="18"/>
        </w:rPr>
        <w:t>O</w:t>
      </w:r>
      <w:r w:rsidRPr="00963F16">
        <w:rPr>
          <w:bCs/>
          <w:i/>
          <w:szCs w:val="18"/>
        </w:rPr>
        <w:t>rario e luogo di ricevimento degli studenti</w:t>
      </w:r>
    </w:p>
    <w:p w14:paraId="695CF814" w14:textId="2D056BDE" w:rsidR="00EF7E91" w:rsidRDefault="00EF7E91" w:rsidP="00963F16">
      <w:pPr>
        <w:pStyle w:val="Testo2"/>
        <w:rPr>
          <w:szCs w:val="18"/>
        </w:rPr>
      </w:pPr>
      <w:r>
        <w:rPr>
          <w:szCs w:val="18"/>
        </w:rPr>
        <w:t xml:space="preserve">Le informazioni relative ai ricevimenti periodici sono disponibili nelle pagine personali di ciascun docente e verranno anche comunicate via </w:t>
      </w:r>
      <w:r w:rsidRPr="00EF7E91">
        <w:rPr>
          <w:i/>
          <w:iCs/>
          <w:szCs w:val="18"/>
        </w:rPr>
        <w:t>Blackboard</w:t>
      </w:r>
      <w:r>
        <w:rPr>
          <w:szCs w:val="18"/>
        </w:rPr>
        <w:t xml:space="preserve"> in avvio del corso.</w:t>
      </w:r>
    </w:p>
    <w:sectPr w:rsidR="00EF7E9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948" w14:textId="77777777" w:rsidR="00534730" w:rsidRDefault="00534730" w:rsidP="00534730">
      <w:pPr>
        <w:spacing w:line="240" w:lineRule="auto"/>
      </w:pPr>
      <w:r>
        <w:separator/>
      </w:r>
    </w:p>
  </w:endnote>
  <w:endnote w:type="continuationSeparator" w:id="0">
    <w:p w14:paraId="4BC4FC15" w14:textId="77777777" w:rsidR="00534730" w:rsidRDefault="00534730" w:rsidP="00534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835B" w14:textId="77777777" w:rsidR="00534730" w:rsidRDefault="00534730" w:rsidP="00534730">
      <w:pPr>
        <w:spacing w:line="240" w:lineRule="auto"/>
      </w:pPr>
      <w:r>
        <w:separator/>
      </w:r>
    </w:p>
  </w:footnote>
  <w:footnote w:type="continuationSeparator" w:id="0">
    <w:p w14:paraId="5FE4C3CF" w14:textId="77777777" w:rsidR="00534730" w:rsidRDefault="00534730" w:rsidP="00534730">
      <w:pPr>
        <w:spacing w:line="240" w:lineRule="auto"/>
      </w:pPr>
      <w:r>
        <w:continuationSeparator/>
      </w:r>
    </w:p>
  </w:footnote>
  <w:footnote w:id="1">
    <w:p w14:paraId="3BDDC130" w14:textId="31368AB8" w:rsidR="00534730" w:rsidRDefault="0053473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5C5"/>
    <w:multiLevelType w:val="hybridMultilevel"/>
    <w:tmpl w:val="2C6A3BDC"/>
    <w:lvl w:ilvl="0" w:tplc="0526D6B2">
      <w:numFmt w:val="bullet"/>
      <w:lvlText w:val=""/>
      <w:lvlJc w:val="left"/>
      <w:pPr>
        <w:ind w:left="689" w:hanging="405"/>
      </w:pPr>
      <w:rPr>
        <w:rFonts w:ascii="Symbol" w:eastAsia="Times New Roman" w:hAnsi="Symbol" w:cs="Times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619C2"/>
    <w:multiLevelType w:val="hybridMultilevel"/>
    <w:tmpl w:val="04B4BA26"/>
    <w:lvl w:ilvl="0" w:tplc="88327662">
      <w:start w:val="1"/>
      <w:numFmt w:val="bullet"/>
      <w:lvlText w:val="−"/>
      <w:lvlJc w:val="left"/>
      <w:pPr>
        <w:ind w:left="689" w:hanging="405"/>
      </w:pPr>
      <w:rPr>
        <w:rFonts w:ascii="Times New Roman" w:hAnsi="Times New Roman" w:cs="Times New Roman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E5C97"/>
    <w:multiLevelType w:val="hybridMultilevel"/>
    <w:tmpl w:val="89B8E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83710"/>
    <w:multiLevelType w:val="hybridMultilevel"/>
    <w:tmpl w:val="54D4A8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EB369FF"/>
    <w:multiLevelType w:val="hybridMultilevel"/>
    <w:tmpl w:val="1160D7F6"/>
    <w:lvl w:ilvl="0" w:tplc="0526D6B2">
      <w:numFmt w:val="bullet"/>
      <w:lvlText w:val=""/>
      <w:lvlJc w:val="left"/>
      <w:pPr>
        <w:ind w:left="689" w:hanging="405"/>
      </w:pPr>
      <w:rPr>
        <w:rFonts w:ascii="Symbol" w:eastAsia="Times New Roman" w:hAnsi="Symbol" w:cs="Times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92513579">
    <w:abstractNumId w:val="2"/>
  </w:num>
  <w:num w:numId="2" w16cid:durableId="1203441728">
    <w:abstractNumId w:val="3"/>
  </w:num>
  <w:num w:numId="3" w16cid:durableId="387076307">
    <w:abstractNumId w:val="4"/>
  </w:num>
  <w:num w:numId="4" w16cid:durableId="1159082383">
    <w:abstractNumId w:val="0"/>
  </w:num>
  <w:num w:numId="5" w16cid:durableId="17800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60"/>
    <w:rsid w:val="000102A7"/>
    <w:rsid w:val="000A3060"/>
    <w:rsid w:val="000B3C0C"/>
    <w:rsid w:val="00126B8E"/>
    <w:rsid w:val="00162A10"/>
    <w:rsid w:val="00187B99"/>
    <w:rsid w:val="001B3DEE"/>
    <w:rsid w:val="001F59F1"/>
    <w:rsid w:val="002014DD"/>
    <w:rsid w:val="00217E78"/>
    <w:rsid w:val="002D5E17"/>
    <w:rsid w:val="003D602D"/>
    <w:rsid w:val="00400B3C"/>
    <w:rsid w:val="004657EF"/>
    <w:rsid w:val="004C7521"/>
    <w:rsid w:val="004D1217"/>
    <w:rsid w:val="004D2CE1"/>
    <w:rsid w:val="004D3467"/>
    <w:rsid w:val="004D6008"/>
    <w:rsid w:val="00517DF5"/>
    <w:rsid w:val="00534730"/>
    <w:rsid w:val="005B1182"/>
    <w:rsid w:val="005D2F13"/>
    <w:rsid w:val="006115DC"/>
    <w:rsid w:val="00640794"/>
    <w:rsid w:val="00693EFC"/>
    <w:rsid w:val="006F1772"/>
    <w:rsid w:val="00726ECA"/>
    <w:rsid w:val="007B66C9"/>
    <w:rsid w:val="007C7458"/>
    <w:rsid w:val="00883EBE"/>
    <w:rsid w:val="008942E7"/>
    <w:rsid w:val="008A1204"/>
    <w:rsid w:val="008E7B53"/>
    <w:rsid w:val="00900CCA"/>
    <w:rsid w:val="00904FD3"/>
    <w:rsid w:val="00924B77"/>
    <w:rsid w:val="00940DA2"/>
    <w:rsid w:val="00963F16"/>
    <w:rsid w:val="009A3D4F"/>
    <w:rsid w:val="009E055C"/>
    <w:rsid w:val="009F5DD4"/>
    <w:rsid w:val="00A74F6F"/>
    <w:rsid w:val="00AD7557"/>
    <w:rsid w:val="00B06E91"/>
    <w:rsid w:val="00B50C5D"/>
    <w:rsid w:val="00B51253"/>
    <w:rsid w:val="00B525CC"/>
    <w:rsid w:val="00B9551A"/>
    <w:rsid w:val="00BF7A81"/>
    <w:rsid w:val="00C70CB0"/>
    <w:rsid w:val="00CF1A89"/>
    <w:rsid w:val="00D404F2"/>
    <w:rsid w:val="00D906C9"/>
    <w:rsid w:val="00D906DB"/>
    <w:rsid w:val="00DB7864"/>
    <w:rsid w:val="00E51F7C"/>
    <w:rsid w:val="00E607E6"/>
    <w:rsid w:val="00E7458F"/>
    <w:rsid w:val="00EC085F"/>
    <w:rsid w:val="00EF7E91"/>
    <w:rsid w:val="00F23B3C"/>
    <w:rsid w:val="00F272DF"/>
    <w:rsid w:val="00F42EE7"/>
    <w:rsid w:val="00F9429D"/>
    <w:rsid w:val="00FA22CC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4910C"/>
  <w15:docId w15:val="{2AD3EE7C-ABEA-4DFF-B734-C10F8BC4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B3C0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B3C0C"/>
    <w:pPr>
      <w:ind w:left="720"/>
      <w:contextualSpacing/>
    </w:pPr>
  </w:style>
  <w:style w:type="paragraph" w:customStyle="1" w:styleId="xtesto2">
    <w:name w:val="x_testo2"/>
    <w:basedOn w:val="Normale"/>
    <w:rsid w:val="00126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9F5DD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F5DD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F5DD4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F5D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F5DD4"/>
    <w:rPr>
      <w:rFonts w:eastAsia="Calibri"/>
      <w:b/>
      <w:bCs/>
      <w:lang w:eastAsia="en-US"/>
    </w:rPr>
  </w:style>
  <w:style w:type="paragraph" w:styleId="Testofumetto">
    <w:name w:val="Balloon Text"/>
    <w:basedOn w:val="Normale"/>
    <w:link w:val="TestofumettoCarattere"/>
    <w:rsid w:val="009F5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F5DD4"/>
    <w:rPr>
      <w:rFonts w:ascii="Segoe UI" w:eastAsia="Calibri" w:hAnsi="Segoe UI" w:cs="Segoe UI"/>
      <w:sz w:val="18"/>
      <w:szCs w:val="18"/>
      <w:lang w:eastAsia="en-US"/>
    </w:rPr>
  </w:style>
  <w:style w:type="paragraph" w:styleId="Revisione">
    <w:name w:val="Revision"/>
    <w:hidden/>
    <w:uiPriority w:val="99"/>
    <w:semiHidden/>
    <w:rsid w:val="00B9551A"/>
    <w:rPr>
      <w:rFonts w:eastAsia="Calibri"/>
      <w:szCs w:val="22"/>
      <w:lang w:eastAsia="en-US"/>
    </w:rPr>
  </w:style>
  <w:style w:type="paragraph" w:customStyle="1" w:styleId="xmsonormal">
    <w:name w:val="x_msonormal"/>
    <w:basedOn w:val="Normale"/>
    <w:rsid w:val="00EF7E9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customStyle="1" w:styleId="xcontentpasted0">
    <w:name w:val="x_contentpasted0"/>
    <w:basedOn w:val="Carpredefinitoparagrafo"/>
    <w:rsid w:val="00EF7E91"/>
  </w:style>
  <w:style w:type="paragraph" w:styleId="Testonotaapidipagina">
    <w:name w:val="footnote text"/>
    <w:basedOn w:val="Normale"/>
    <w:link w:val="TestonotaapidipaginaCarattere"/>
    <w:semiHidden/>
    <w:unhideWhenUsed/>
    <w:rsid w:val="0053473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34730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34730"/>
    <w:rPr>
      <w:vertAlign w:val="superscript"/>
    </w:rPr>
  </w:style>
  <w:style w:type="character" w:styleId="Collegamentoipertestuale">
    <w:name w:val="Hyperlink"/>
    <w:basedOn w:val="Carpredefinitoparagrafo"/>
    <w:unhideWhenUsed/>
    <w:rsid w:val="005347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4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ichard-l-daft/organizzazione-aziendale-9788891647146-69187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7E7B-C3CF-432E-9E13-1E4F18D1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829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4</cp:revision>
  <cp:lastPrinted>2003-03-27T10:42:00Z</cp:lastPrinted>
  <dcterms:created xsi:type="dcterms:W3CDTF">2023-07-27T11:17:00Z</dcterms:created>
  <dcterms:modified xsi:type="dcterms:W3CDTF">2023-07-27T12:20:00Z</dcterms:modified>
</cp:coreProperties>
</file>