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D0C4D" w14:textId="77777777" w:rsidR="002D5E17" w:rsidRDefault="00620D09" w:rsidP="002D5E17">
      <w:pPr>
        <w:pStyle w:val="Titolo1"/>
      </w:pPr>
      <w:r>
        <w:t>Economia politica (microeconomia)</w:t>
      </w:r>
    </w:p>
    <w:p w14:paraId="6F1DE280" w14:textId="77777777" w:rsidR="00620D09" w:rsidRDefault="00620D09" w:rsidP="00620D09">
      <w:pPr>
        <w:pStyle w:val="Titolo2"/>
      </w:pPr>
      <w:r>
        <w:t>Prof. Massimiliano Rigon</w:t>
      </w:r>
    </w:p>
    <w:p w14:paraId="28563AA4" w14:textId="17290DEC" w:rsidR="00620D09" w:rsidRPr="00974F58" w:rsidRDefault="00620D09" w:rsidP="00974F58">
      <w:pPr>
        <w:spacing w:before="240" w:after="120" w:line="240" w:lineRule="exact"/>
        <w:rPr>
          <w:b/>
          <w:sz w:val="18"/>
        </w:rPr>
      </w:pPr>
      <w:r>
        <w:rPr>
          <w:b/>
          <w:i/>
          <w:sz w:val="18"/>
        </w:rPr>
        <w:t>OBIETTIVO DEL CORSO E RISULTATI DI APPRENDIMENTO ATTESI</w:t>
      </w:r>
    </w:p>
    <w:p w14:paraId="0F14686B" w14:textId="77777777" w:rsidR="00620D09" w:rsidRDefault="00620D09" w:rsidP="00676DB3">
      <w:pPr>
        <w:spacing w:line="240" w:lineRule="exact"/>
      </w:pPr>
      <w:r w:rsidRPr="004F6F64">
        <w:t xml:space="preserve">L’insegnamento intende presentare le principali tematiche che vengono utilizzate nel ragionamento economico e che sono necessarie per comprendere le decisioni degli agenti ed il funzionamento dei mercati. </w:t>
      </w:r>
    </w:p>
    <w:p w14:paraId="1CF68540" w14:textId="77777777" w:rsidR="00620D09" w:rsidRDefault="00620D09" w:rsidP="00676DB3">
      <w:pPr>
        <w:spacing w:line="240" w:lineRule="exact"/>
      </w:pPr>
      <w:r w:rsidRPr="001739A3">
        <w:t>Al termine dell’insegnamento lo studente:</w:t>
      </w:r>
    </w:p>
    <w:p w14:paraId="38629A74" w14:textId="0CE7E675" w:rsidR="00620D09" w:rsidRDefault="00620D09" w:rsidP="00E73110">
      <w:pPr>
        <w:spacing w:line="240" w:lineRule="exact"/>
        <w:ind w:left="284" w:hanging="284"/>
      </w:pPr>
      <w:r>
        <w:t>1)</w:t>
      </w:r>
      <w:r w:rsidR="00E73110">
        <w:tab/>
      </w:r>
      <w:r w:rsidRPr="001739A3">
        <w:t xml:space="preserve">Sarà in grado di comprendere le principali teorie microeconomiche di base e </w:t>
      </w:r>
      <w:r>
        <w:t>di descrivere, tramite esse, il c</w:t>
      </w:r>
      <w:r w:rsidRPr="001739A3">
        <w:t>omportamento di consumatori e produttori e la loro interazione in diversi mercati;</w:t>
      </w:r>
      <w:r>
        <w:t xml:space="preserve"> </w:t>
      </w:r>
    </w:p>
    <w:p w14:paraId="39CC2271" w14:textId="61F6FDAF" w:rsidR="00620D09" w:rsidRDefault="00620D09" w:rsidP="00E73110">
      <w:pPr>
        <w:spacing w:line="240" w:lineRule="exact"/>
        <w:ind w:left="284" w:hanging="284"/>
      </w:pPr>
      <w:r>
        <w:t>2)</w:t>
      </w:r>
      <w:r w:rsidR="00E73110">
        <w:tab/>
      </w:r>
      <w:r w:rsidRPr="001739A3">
        <w:t xml:space="preserve">Saprà applicare le conoscenze teoriche conseguite e determinare (analiticamente e graficamente) come l’interazione tra agenti economici permetta di conseguire e studiare diversi </w:t>
      </w:r>
      <w:r>
        <w:t xml:space="preserve">equilibri di mercato; </w:t>
      </w:r>
    </w:p>
    <w:p w14:paraId="67521BC5" w14:textId="4CB67617" w:rsidR="00620D09" w:rsidRDefault="00620D09" w:rsidP="00E73110">
      <w:pPr>
        <w:spacing w:line="240" w:lineRule="exact"/>
        <w:ind w:left="284" w:hanging="284"/>
      </w:pPr>
      <w:r>
        <w:t>3)</w:t>
      </w:r>
      <w:r w:rsidR="00E73110">
        <w:tab/>
      </w:r>
      <w:r w:rsidRPr="001739A3">
        <w:t>Riuscirà a valutare autonomamente, tramite gli strumenti forniti, gli effetti di diverse strutture di mercato sul benessere della società e a formulare giudizi circa l’eff</w:t>
      </w:r>
      <w:r>
        <w:t>icienza delle stesse;</w:t>
      </w:r>
    </w:p>
    <w:p w14:paraId="540042C9" w14:textId="24C0A605" w:rsidR="00620D09" w:rsidRDefault="00620D09" w:rsidP="00E73110">
      <w:pPr>
        <w:spacing w:line="240" w:lineRule="exact"/>
        <w:ind w:left="284" w:hanging="284"/>
      </w:pPr>
      <w:r>
        <w:t>4)</w:t>
      </w:r>
      <w:r w:rsidR="00E73110">
        <w:tab/>
      </w:r>
      <w:r w:rsidRPr="001739A3">
        <w:t xml:space="preserve">Conseguirà la padronanza tecnica e linguistica necessaria a comprendere i principali fenomeni (micro)economici ed a comunicare le proprie conoscenze all’esterno, con la dovuta proprietà espositiva e </w:t>
      </w:r>
      <w:r>
        <w:t>comprensione tecnica;</w:t>
      </w:r>
    </w:p>
    <w:p w14:paraId="290EFA47" w14:textId="62245AA5" w:rsidR="00620D09" w:rsidRDefault="00620D09" w:rsidP="00E73110">
      <w:pPr>
        <w:spacing w:line="240" w:lineRule="exact"/>
        <w:ind w:left="284" w:hanging="284"/>
      </w:pPr>
      <w:r>
        <w:t>5)</w:t>
      </w:r>
      <w:r w:rsidR="00E73110">
        <w:tab/>
      </w:r>
      <w:r w:rsidRPr="001739A3">
        <w:t>Possiederà le conoscenze e competenze utili per seguire proficuamente corsi più avanzati di natura economica ed economico-aziendale ed apprendere le estensioni e le ulteriori implicazioni delle teorie microeconomiche acquisite in questo corso</w:t>
      </w:r>
      <w:r>
        <w:t>.</w:t>
      </w:r>
    </w:p>
    <w:p w14:paraId="3EA446CA" w14:textId="77777777" w:rsidR="00620D09" w:rsidRDefault="00620D09" w:rsidP="00620D09">
      <w:pPr>
        <w:spacing w:before="240" w:after="120" w:line="240" w:lineRule="exact"/>
        <w:rPr>
          <w:b/>
          <w:sz w:val="18"/>
        </w:rPr>
      </w:pPr>
      <w:r>
        <w:rPr>
          <w:b/>
          <w:i/>
          <w:sz w:val="18"/>
        </w:rPr>
        <w:t>PROGRAMMA DEL CORSO</w:t>
      </w:r>
    </w:p>
    <w:p w14:paraId="3F3C9AC9" w14:textId="77777777" w:rsidR="00620D09" w:rsidRDefault="00620D09" w:rsidP="00620D09">
      <w:pPr>
        <w:ind w:left="284" w:hanging="284"/>
      </w:pPr>
      <w:r>
        <w:rPr>
          <w:i/>
        </w:rPr>
        <w:t>–</w:t>
      </w:r>
      <w:r>
        <w:rPr>
          <w:i/>
        </w:rPr>
        <w:tab/>
        <w:t>Introduzione</w:t>
      </w:r>
      <w:r>
        <w:t>: I principi della (micro)economia, i modelli economici, il funzionamento del mercato.</w:t>
      </w:r>
    </w:p>
    <w:p w14:paraId="130ADDF9" w14:textId="77777777" w:rsidR="00620D09" w:rsidRDefault="00620D09" w:rsidP="00620D09">
      <w:pPr>
        <w:ind w:left="284" w:hanging="284"/>
      </w:pPr>
      <w:r>
        <w:rPr>
          <w:i/>
        </w:rPr>
        <w:t>–</w:t>
      </w:r>
      <w:r>
        <w:rPr>
          <w:i/>
        </w:rPr>
        <w:tab/>
        <w:t>La teoria del consumatore</w:t>
      </w:r>
      <w:r>
        <w:t>: Vincolo di bilancio, preferenze, utilità e scelte del consumatore. Domanda di mercato, elasticità, equilibrio di mercato.</w:t>
      </w:r>
    </w:p>
    <w:p w14:paraId="22F261D7" w14:textId="77777777" w:rsidR="00620D09" w:rsidRDefault="00620D09" w:rsidP="00620D09">
      <w:pPr>
        <w:ind w:left="284" w:hanging="284"/>
      </w:pPr>
      <w:r>
        <w:rPr>
          <w:i/>
        </w:rPr>
        <w:t>–</w:t>
      </w:r>
      <w:r>
        <w:rPr>
          <w:i/>
        </w:rPr>
        <w:tab/>
        <w:t>La teoria dell’impresa e della produzione</w:t>
      </w:r>
      <w:r>
        <w:t>: Vincoli tecnologici, combinazione ottima dei fattori, struttura dei costi. Decisioni di produzione nel breve e lungo periodo, minimizzazione dei costi e massimizzazione del profitto.</w:t>
      </w:r>
    </w:p>
    <w:p w14:paraId="47A03A6A" w14:textId="77777777" w:rsidR="00620D09" w:rsidRDefault="00620D09" w:rsidP="00620D09">
      <w:pPr>
        <w:ind w:left="284" w:hanging="284"/>
      </w:pPr>
      <w:r>
        <w:rPr>
          <w:i/>
        </w:rPr>
        <w:t>–</w:t>
      </w:r>
      <w:r>
        <w:rPr>
          <w:i/>
        </w:rPr>
        <w:tab/>
        <w:t>Equilibrio di un singolo mercato in concorrenza perfetta</w:t>
      </w:r>
      <w:r>
        <w:t>: Offerta di un’impresa concorrenziale, offerta dell’industria, equilibrio nel breve e nel lungo periodo.</w:t>
      </w:r>
    </w:p>
    <w:p w14:paraId="68EDCF05" w14:textId="77777777" w:rsidR="00620D09" w:rsidRDefault="00620D09" w:rsidP="00620D09">
      <w:pPr>
        <w:ind w:left="284" w:hanging="284"/>
      </w:pPr>
      <w:r>
        <w:rPr>
          <w:i/>
        </w:rPr>
        <w:t>–</w:t>
      </w:r>
      <w:r>
        <w:rPr>
          <w:i/>
        </w:rPr>
        <w:tab/>
        <w:t>Le altre forme di mercato</w:t>
      </w:r>
      <w:r>
        <w:t>: Monopolio, oligopolio e comportamento monopolistico.</w:t>
      </w:r>
    </w:p>
    <w:p w14:paraId="062BDCD8" w14:textId="3260C662" w:rsidR="00620D09" w:rsidRDefault="00620D09" w:rsidP="00620D09">
      <w:pPr>
        <w:ind w:left="284" w:hanging="284"/>
        <w:rPr>
          <w:i/>
        </w:rPr>
      </w:pPr>
      <w:r>
        <w:rPr>
          <w:i/>
        </w:rPr>
        <w:lastRenderedPageBreak/>
        <w:t>–</w:t>
      </w:r>
      <w:r>
        <w:rPr>
          <w:i/>
        </w:rPr>
        <w:tab/>
        <w:t xml:space="preserve">Cenni di teoria dei giochi: </w:t>
      </w:r>
      <w:r>
        <w:t>Strategie dominanti ed equilibrio di Nash; giochi in forma normale e in forma estesa.</w:t>
      </w:r>
      <w:r w:rsidR="002C1A55">
        <w:t xml:space="preserve"> Strategie pure e strategie miste.</w:t>
      </w:r>
    </w:p>
    <w:p w14:paraId="5BC3FEC4" w14:textId="77777777" w:rsidR="00620D09" w:rsidRDefault="00620D09" w:rsidP="00620D09">
      <w:pPr>
        <w:spacing w:before="120"/>
        <w:ind w:left="284" w:hanging="284"/>
      </w:pPr>
      <w:r>
        <w:t>Uno dei seguenti approfondimenti.</w:t>
      </w:r>
    </w:p>
    <w:p w14:paraId="09119D2B" w14:textId="77777777" w:rsidR="00620D09" w:rsidRDefault="00620D09" w:rsidP="00620D09">
      <w:pPr>
        <w:ind w:left="284" w:hanging="284"/>
      </w:pPr>
      <w:r>
        <w:rPr>
          <w:i/>
        </w:rPr>
        <w:t>–</w:t>
      </w:r>
      <w:r>
        <w:rPr>
          <w:i/>
        </w:rPr>
        <w:tab/>
        <w:t>Equilibrio economico generale</w:t>
      </w:r>
      <w:r>
        <w:t>: Scambio, mercato e teoremi del benessere.</w:t>
      </w:r>
    </w:p>
    <w:p w14:paraId="03C726AF" w14:textId="77777777" w:rsidR="00620D09" w:rsidRDefault="00620D09" w:rsidP="00620D09">
      <w:pPr>
        <w:ind w:left="284" w:hanging="284"/>
      </w:pPr>
      <w:r>
        <w:rPr>
          <w:i/>
        </w:rPr>
        <w:t>–</w:t>
      </w:r>
      <w:r>
        <w:rPr>
          <w:i/>
        </w:rPr>
        <w:tab/>
        <w:t>I fallimenti del mercato</w:t>
      </w:r>
      <w:r>
        <w:t>: Esternalità, beni pubblici.</w:t>
      </w:r>
    </w:p>
    <w:p w14:paraId="0A23B390" w14:textId="77777777" w:rsidR="00620D09" w:rsidRDefault="00620D09" w:rsidP="00620D09">
      <w:pPr>
        <w:ind w:left="284" w:hanging="284"/>
      </w:pPr>
      <w:r>
        <w:rPr>
          <w:i/>
        </w:rPr>
        <w:t>–</w:t>
      </w:r>
      <w:r>
        <w:rPr>
          <w:i/>
        </w:rPr>
        <w:tab/>
        <w:t>Informazione ed incentivi</w:t>
      </w:r>
      <w:r>
        <w:t>: Selezione avversa e azzardo morale.</w:t>
      </w:r>
    </w:p>
    <w:p w14:paraId="16AC4054" w14:textId="1C405FE0" w:rsidR="00620D09" w:rsidRDefault="00620D09" w:rsidP="00620D09">
      <w:pPr>
        <w:keepNext/>
        <w:spacing w:before="240" w:after="120" w:line="240" w:lineRule="exact"/>
        <w:rPr>
          <w:b/>
          <w:sz w:val="18"/>
        </w:rPr>
      </w:pPr>
      <w:r>
        <w:rPr>
          <w:b/>
          <w:i/>
          <w:sz w:val="18"/>
        </w:rPr>
        <w:t>BIBLIOGRAFIA</w:t>
      </w:r>
      <w:r w:rsidR="006C5352">
        <w:rPr>
          <w:rStyle w:val="Rimandonotaapidipagina"/>
          <w:b/>
          <w:i/>
          <w:sz w:val="18"/>
        </w:rPr>
        <w:footnoteReference w:id="1"/>
      </w:r>
    </w:p>
    <w:p w14:paraId="692CA603" w14:textId="057F1CB8" w:rsidR="00620D09" w:rsidRDefault="00620D09" w:rsidP="00620D09">
      <w:pPr>
        <w:pStyle w:val="Testo1"/>
        <w:spacing w:line="240" w:lineRule="exact"/>
        <w:rPr>
          <w:spacing w:val="-5"/>
        </w:rPr>
      </w:pPr>
      <w:r>
        <w:rPr>
          <w:smallCaps/>
          <w:spacing w:val="-5"/>
          <w:sz w:val="16"/>
        </w:rPr>
        <w:t>H. Varian,</w:t>
      </w:r>
      <w:r>
        <w:rPr>
          <w:i/>
          <w:spacing w:val="-5"/>
        </w:rPr>
        <w:t xml:space="preserve"> Microeconomia,</w:t>
      </w:r>
      <w:r>
        <w:rPr>
          <w:spacing w:val="-5"/>
        </w:rPr>
        <w:t xml:space="preserve"> Cafoscarina, Venezia, 2012.</w:t>
      </w:r>
      <w:r w:rsidR="006C5352">
        <w:rPr>
          <w:spacing w:val="-5"/>
        </w:rPr>
        <w:t xml:space="preserve"> </w:t>
      </w:r>
      <w:hyperlink r:id="rId10" w:history="1">
        <w:r w:rsidR="006C5352" w:rsidRPr="006C5352">
          <w:rPr>
            <w:rStyle w:val="Collegamentoipertestuale"/>
            <w:rFonts w:ascii="Times New Roman" w:hAnsi="Times New Roman"/>
            <w:i/>
            <w:szCs w:val="18"/>
          </w:rPr>
          <w:t>Acquista da VP</w:t>
        </w:r>
      </w:hyperlink>
    </w:p>
    <w:p w14:paraId="70E9B693" w14:textId="77777777" w:rsidR="00620D09" w:rsidRDefault="00620D09" w:rsidP="00620D09">
      <w:pPr>
        <w:pStyle w:val="Testo1"/>
        <w:spacing w:line="240" w:lineRule="exact"/>
        <w:rPr>
          <w:spacing w:val="-5"/>
        </w:rPr>
      </w:pPr>
      <w:r>
        <w:t xml:space="preserve">È </w:t>
      </w:r>
      <w:r>
        <w:rPr>
          <w:spacing w:val="-5"/>
        </w:rPr>
        <w:t>previsto materiale di supporto reperibile sulla pagina personale del docente.</w:t>
      </w:r>
    </w:p>
    <w:p w14:paraId="510E1E69" w14:textId="77777777" w:rsidR="00620D09" w:rsidRPr="001B32F7" w:rsidRDefault="00620D09" w:rsidP="00620D09">
      <w:pPr>
        <w:spacing w:before="240" w:after="120"/>
        <w:rPr>
          <w:b/>
          <w:i/>
          <w:sz w:val="18"/>
        </w:rPr>
      </w:pPr>
      <w:r w:rsidRPr="001B32F7">
        <w:rPr>
          <w:b/>
          <w:i/>
          <w:sz w:val="18"/>
        </w:rPr>
        <w:t>DIDATTICA DEL CORSO</w:t>
      </w:r>
    </w:p>
    <w:p w14:paraId="25B18979" w14:textId="77777777" w:rsidR="00620D09" w:rsidRPr="001B32F7" w:rsidRDefault="00620D09" w:rsidP="00620D09">
      <w:pPr>
        <w:pStyle w:val="Testo2"/>
      </w:pPr>
      <w:r w:rsidRPr="001B32F7">
        <w:t>Il corso sarà articolato principalmente in lezioni teoriche. Sono previste anche esercitazioni in cui la classe sarà attivamente coinvolta.</w:t>
      </w:r>
      <w:r w:rsidR="00507F57" w:rsidRPr="001B32F7">
        <w:t xml:space="preserve"> La piattaforma Blackboard costituisce un aggiuntivo strumento didattico, consentendo forme di partecipazione attiva degli studenti.</w:t>
      </w:r>
    </w:p>
    <w:p w14:paraId="26F3ACF1" w14:textId="77777777" w:rsidR="00620D09" w:rsidRPr="001B32F7" w:rsidRDefault="00620D09" w:rsidP="00620D09">
      <w:pPr>
        <w:spacing w:before="240" w:after="120"/>
        <w:rPr>
          <w:b/>
          <w:i/>
          <w:sz w:val="18"/>
        </w:rPr>
      </w:pPr>
      <w:r w:rsidRPr="001B32F7">
        <w:rPr>
          <w:b/>
          <w:i/>
          <w:sz w:val="18"/>
        </w:rPr>
        <w:t>METODO E CRITERI DI VALUTAZIONE</w:t>
      </w:r>
    </w:p>
    <w:p w14:paraId="6D3E660D" w14:textId="77777777" w:rsidR="00966B93" w:rsidRPr="001B32F7" w:rsidRDefault="00966B93" w:rsidP="00966B93">
      <w:pPr>
        <w:ind w:firstLine="284"/>
        <w:rPr>
          <w:rFonts w:ascii="Times" w:hAnsi="Times"/>
          <w:noProof/>
          <w:sz w:val="18"/>
          <w:szCs w:val="20"/>
        </w:rPr>
      </w:pPr>
      <w:r w:rsidRPr="001B32F7">
        <w:rPr>
          <w:rFonts w:ascii="Times" w:hAnsi="Times"/>
          <w:noProof/>
          <w:sz w:val="18"/>
          <w:szCs w:val="20"/>
        </w:rPr>
        <w:t>La valutazione si basa su prove scritte. L'esame può essere svolto tramite due prove parziali (una prova intermedia ed una prova di completamento) oppure tramite una prova generale. Nel caso in cui l’esame sia sostenuto in due prove parziali, la prova di completamento è prevista esclusivamente durante uno degli appelli della sessione estiva. L’esame viene considerato superato solo se in entrambe le prove lo studente ottiene un voto non inferiore a 18. Il voto finale è dato dalla media aritmetica dei voti ottenuti nelle due prove.</w:t>
      </w:r>
    </w:p>
    <w:p w14:paraId="0DDDEC06" w14:textId="77777777" w:rsidR="00966B93" w:rsidRPr="001B32F7" w:rsidRDefault="00966B93" w:rsidP="00966B93">
      <w:pPr>
        <w:ind w:firstLine="284"/>
        <w:rPr>
          <w:rFonts w:ascii="Times" w:hAnsi="Times"/>
          <w:noProof/>
          <w:sz w:val="18"/>
          <w:szCs w:val="20"/>
        </w:rPr>
      </w:pPr>
      <w:r w:rsidRPr="001B32F7">
        <w:rPr>
          <w:rFonts w:ascii="Times" w:hAnsi="Times"/>
          <w:noProof/>
          <w:sz w:val="18"/>
          <w:szCs w:val="20"/>
        </w:rPr>
        <w:t>Due son</w:t>
      </w:r>
      <w:r w:rsidR="008C7089" w:rsidRPr="001B32F7">
        <w:rPr>
          <w:rFonts w:ascii="Times" w:hAnsi="Times"/>
          <w:noProof/>
          <w:sz w:val="18"/>
          <w:szCs w:val="20"/>
        </w:rPr>
        <w:t>o i criteri valutativi ado</w:t>
      </w:r>
      <w:r w:rsidR="00507F57" w:rsidRPr="001B32F7">
        <w:rPr>
          <w:rFonts w:ascii="Times" w:hAnsi="Times"/>
          <w:noProof/>
          <w:sz w:val="18"/>
          <w:szCs w:val="20"/>
        </w:rPr>
        <w:t>tta</w:t>
      </w:r>
      <w:r w:rsidR="008C7089" w:rsidRPr="001B32F7">
        <w:rPr>
          <w:rFonts w:ascii="Times" w:hAnsi="Times"/>
          <w:noProof/>
          <w:sz w:val="18"/>
          <w:szCs w:val="20"/>
        </w:rPr>
        <w:t>ti.</w:t>
      </w:r>
    </w:p>
    <w:p w14:paraId="15B459DB" w14:textId="77777777" w:rsidR="00966B93" w:rsidRPr="001B32F7" w:rsidRDefault="00966B93" w:rsidP="00966B93">
      <w:pPr>
        <w:ind w:firstLine="284"/>
        <w:rPr>
          <w:rFonts w:ascii="Times" w:hAnsi="Times"/>
          <w:noProof/>
          <w:sz w:val="18"/>
          <w:szCs w:val="20"/>
        </w:rPr>
      </w:pPr>
      <w:r w:rsidRPr="001B32F7">
        <w:rPr>
          <w:rFonts w:ascii="Times" w:hAnsi="Times"/>
          <w:noProof/>
          <w:sz w:val="18"/>
          <w:szCs w:val="20"/>
        </w:rPr>
        <w:t>Una valutazione circa le conoscenze teoriche acquisite dallo studente, la loro comprensione e la capacità di derivarne le principali implicazioni;</w:t>
      </w:r>
    </w:p>
    <w:p w14:paraId="42E7D876" w14:textId="77777777" w:rsidR="00966B93" w:rsidRPr="001B32F7" w:rsidRDefault="00966B93" w:rsidP="00966B93">
      <w:pPr>
        <w:ind w:firstLine="284"/>
        <w:rPr>
          <w:rFonts w:ascii="Times" w:hAnsi="Times"/>
          <w:noProof/>
          <w:sz w:val="18"/>
          <w:szCs w:val="20"/>
        </w:rPr>
      </w:pPr>
      <w:r w:rsidRPr="001B32F7">
        <w:rPr>
          <w:rFonts w:ascii="Times" w:hAnsi="Times"/>
          <w:noProof/>
          <w:sz w:val="18"/>
          <w:szCs w:val="20"/>
        </w:rPr>
        <w:t xml:space="preserve">Una valutazione circa la capacità dello studente di tradurre tali conoscenze teoriche in maniera applicata, operazionalizzandole per risolvere autonamente esercizi economici. </w:t>
      </w:r>
    </w:p>
    <w:p w14:paraId="5367FFA8" w14:textId="77777777" w:rsidR="00966B93" w:rsidRPr="001B32F7" w:rsidRDefault="00966B93" w:rsidP="00620D09">
      <w:pPr>
        <w:pStyle w:val="Testo2"/>
      </w:pPr>
      <w:r w:rsidRPr="001B32F7">
        <w:t>La combinazione di tali criteri valutativi si riflette nella struttura della prova d’esame (sia intermedia che totale). Tutte le prove prevedono sono infatti composte da due parti. La prima parte è costituita da domande che richiedono risposte brevi e mira a valutare il grado di comprensione della parte teorica del corso. La seconda parte è costituita invece da esercizi numerici articolati in sotto-punti, per risolvere i quali gli studenti dovranno dimostrare di essere in grado di risolvere matematicamente alcuni problemi e di interpretarne economicamente i risultati.</w:t>
      </w:r>
    </w:p>
    <w:p w14:paraId="57C7B33C" w14:textId="77777777" w:rsidR="00620D09" w:rsidRPr="001B32F7" w:rsidRDefault="00966B93" w:rsidP="00620D09">
      <w:pPr>
        <w:pStyle w:val="Testo2"/>
      </w:pPr>
      <w:r w:rsidRPr="001B32F7">
        <w:t xml:space="preserve">La prova intermedia e l’esame di completamento hanno una durata di 60 minuti ciascuno. </w:t>
      </w:r>
      <w:r w:rsidR="00620D09" w:rsidRPr="001B32F7">
        <w:t xml:space="preserve">L’esame </w:t>
      </w:r>
      <w:r w:rsidRPr="001B32F7">
        <w:t>generale ha</w:t>
      </w:r>
      <w:r w:rsidR="00620D09" w:rsidRPr="001B32F7">
        <w:t xml:space="preserve"> una durata di 120 minuti</w:t>
      </w:r>
      <w:r w:rsidRPr="001B32F7">
        <w:t>.</w:t>
      </w:r>
    </w:p>
    <w:p w14:paraId="2333F185" w14:textId="77777777" w:rsidR="00620D09" w:rsidRPr="001B32F7" w:rsidRDefault="00620D09" w:rsidP="00620D09">
      <w:pPr>
        <w:spacing w:before="240" w:after="120" w:line="240" w:lineRule="exact"/>
        <w:rPr>
          <w:b/>
          <w:i/>
          <w:sz w:val="18"/>
        </w:rPr>
      </w:pPr>
      <w:r w:rsidRPr="001B32F7">
        <w:rPr>
          <w:b/>
          <w:i/>
          <w:sz w:val="18"/>
        </w:rPr>
        <w:lastRenderedPageBreak/>
        <w:t>AVVERTENZE E PREREQUISITI</w:t>
      </w:r>
    </w:p>
    <w:p w14:paraId="1CD9EE4E" w14:textId="52ADFFB5" w:rsidR="00507F57" w:rsidRDefault="001553E6" w:rsidP="00974F58">
      <w:pPr>
        <w:pStyle w:val="Testo2"/>
      </w:pPr>
      <w:r w:rsidRPr="001B32F7">
        <w:t xml:space="preserve">È consigliata la frequenza del pre-corso di Matematica riservato agli studenti del primo anno. </w:t>
      </w:r>
      <w:r w:rsidR="00507F57" w:rsidRPr="001B32F7">
        <w:t xml:space="preserve">Il corso </w:t>
      </w:r>
      <w:r w:rsidRPr="001B32F7">
        <w:t xml:space="preserve">di Economia Politica (micoreconomia) </w:t>
      </w:r>
      <w:r w:rsidR="00507F57" w:rsidRPr="001B32F7">
        <w:t xml:space="preserve">è annuale e si colloca al primo anno. Sebbene l’insegnamento non preveda </w:t>
      </w:r>
      <w:r w:rsidR="00620D09" w:rsidRPr="001B32F7">
        <w:t>pr</w:t>
      </w:r>
      <w:r w:rsidR="00507F57" w:rsidRPr="001B32F7">
        <w:t xml:space="preserve">erequisiti, la trattazione degli argomenti con strumenti matematici richiede una basilare conoscenza del calcolo differenziale. </w:t>
      </w:r>
      <w:r w:rsidRPr="001B32F7">
        <w:t>Le</w:t>
      </w:r>
      <w:r w:rsidR="00507F57" w:rsidRPr="001B32F7">
        <w:t xml:space="preserve"> nozioni </w:t>
      </w:r>
      <w:r w:rsidRPr="001B32F7">
        <w:t xml:space="preserve">di base utili ai fini del corso </w:t>
      </w:r>
      <w:r w:rsidR="00507F57" w:rsidRPr="001B32F7">
        <w:t xml:space="preserve">verrano fornite </w:t>
      </w:r>
      <w:r w:rsidRPr="001B32F7">
        <w:t>nell’ambito delle esercitazioni e saranno poi affrontati in modo più completo n</w:t>
      </w:r>
      <w:r w:rsidR="00507F57" w:rsidRPr="001B32F7">
        <w:t xml:space="preserve">el corso di Matematica generale </w:t>
      </w:r>
      <w:r w:rsidRPr="001B32F7">
        <w:t xml:space="preserve">collocate anch’esso al primo anno e </w:t>
      </w:r>
      <w:r w:rsidR="00507F57" w:rsidRPr="001B32F7">
        <w:t>svolto parallelamente</w:t>
      </w:r>
      <w:r w:rsidRPr="001B32F7">
        <w:t>.</w:t>
      </w:r>
      <w:r>
        <w:t xml:space="preserve"> </w:t>
      </w:r>
    </w:p>
    <w:p w14:paraId="3074A7C3" w14:textId="77777777" w:rsidR="00620D09" w:rsidRPr="00620D09" w:rsidRDefault="00620D09" w:rsidP="00620D09">
      <w:pPr>
        <w:pStyle w:val="Testo2"/>
        <w:spacing w:before="120"/>
        <w:rPr>
          <w:i/>
        </w:rPr>
      </w:pPr>
      <w:r w:rsidRPr="00620D09">
        <w:rPr>
          <w:i/>
        </w:rPr>
        <w:t xml:space="preserve">Orario e luogo di ricevimento </w:t>
      </w:r>
    </w:p>
    <w:p w14:paraId="0654A269" w14:textId="77777777" w:rsidR="00620D09" w:rsidRDefault="00620D09" w:rsidP="00620D09">
      <w:pPr>
        <w:pStyle w:val="Testo2"/>
      </w:pPr>
      <w:r w:rsidRPr="00DC0253">
        <w:t>Il ricevi</w:t>
      </w:r>
      <w:r>
        <w:t xml:space="preserve">mento si svolge il lunedì 18:45-19:45 in via Necchi, 5 </w:t>
      </w:r>
      <w:r w:rsidRPr="002B3DB4">
        <w:t>ufficio 2103.</w:t>
      </w:r>
      <w:r>
        <w:t xml:space="preserve"> </w:t>
      </w:r>
    </w:p>
    <w:sectPr w:rsidR="00620D0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A000" w14:textId="77777777" w:rsidR="008F7CDB" w:rsidRDefault="008F7CDB" w:rsidP="00D95CEB">
      <w:pPr>
        <w:spacing w:line="240" w:lineRule="auto"/>
      </w:pPr>
      <w:r>
        <w:separator/>
      </w:r>
    </w:p>
  </w:endnote>
  <w:endnote w:type="continuationSeparator" w:id="0">
    <w:p w14:paraId="152AEBA4" w14:textId="77777777" w:rsidR="008F7CDB" w:rsidRDefault="008F7CDB" w:rsidP="00D95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91BA" w14:textId="77777777" w:rsidR="008F7CDB" w:rsidRDefault="008F7CDB" w:rsidP="00D95CEB">
      <w:pPr>
        <w:spacing w:line="240" w:lineRule="auto"/>
      </w:pPr>
      <w:r>
        <w:separator/>
      </w:r>
    </w:p>
  </w:footnote>
  <w:footnote w:type="continuationSeparator" w:id="0">
    <w:p w14:paraId="42B9DE25" w14:textId="77777777" w:rsidR="008F7CDB" w:rsidRDefault="008F7CDB" w:rsidP="00D95CEB">
      <w:pPr>
        <w:spacing w:line="240" w:lineRule="auto"/>
      </w:pPr>
      <w:r>
        <w:continuationSeparator/>
      </w:r>
    </w:p>
  </w:footnote>
  <w:footnote w:id="1">
    <w:p w14:paraId="6CAACCA5" w14:textId="6B2FB8F1" w:rsidR="006C5352" w:rsidRDefault="006C535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5E"/>
    <w:rsid w:val="000E575E"/>
    <w:rsid w:val="001553E6"/>
    <w:rsid w:val="00187B99"/>
    <w:rsid w:val="001B32F7"/>
    <w:rsid w:val="002014DD"/>
    <w:rsid w:val="002347FA"/>
    <w:rsid w:val="002C1A55"/>
    <w:rsid w:val="002D5E17"/>
    <w:rsid w:val="004558DF"/>
    <w:rsid w:val="00465819"/>
    <w:rsid w:val="004D1217"/>
    <w:rsid w:val="004D6008"/>
    <w:rsid w:val="00507F57"/>
    <w:rsid w:val="00512893"/>
    <w:rsid w:val="00594D98"/>
    <w:rsid w:val="00620D09"/>
    <w:rsid w:val="006342D7"/>
    <w:rsid w:val="00640794"/>
    <w:rsid w:val="00676DB3"/>
    <w:rsid w:val="006C5352"/>
    <w:rsid w:val="006F1772"/>
    <w:rsid w:val="00833CEC"/>
    <w:rsid w:val="00843C04"/>
    <w:rsid w:val="008937E5"/>
    <w:rsid w:val="008942E7"/>
    <w:rsid w:val="008A1204"/>
    <w:rsid w:val="008C7089"/>
    <w:rsid w:val="008F7CDB"/>
    <w:rsid w:val="00900CCA"/>
    <w:rsid w:val="00924B77"/>
    <w:rsid w:val="00940DA2"/>
    <w:rsid w:val="00966B93"/>
    <w:rsid w:val="00974F58"/>
    <w:rsid w:val="009E055C"/>
    <w:rsid w:val="00A74F6F"/>
    <w:rsid w:val="00AD7557"/>
    <w:rsid w:val="00B50C5D"/>
    <w:rsid w:val="00B51253"/>
    <w:rsid w:val="00B525CC"/>
    <w:rsid w:val="00BC1CB6"/>
    <w:rsid w:val="00C46CBD"/>
    <w:rsid w:val="00C633FA"/>
    <w:rsid w:val="00CA4AB0"/>
    <w:rsid w:val="00D404F2"/>
    <w:rsid w:val="00D95CEB"/>
    <w:rsid w:val="00DA6295"/>
    <w:rsid w:val="00E607E6"/>
    <w:rsid w:val="00E731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762EB"/>
  <w15:docId w15:val="{D14D2A59-D86F-4A08-BAD9-C3DABF60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620D09"/>
    <w:rPr>
      <w:rFonts w:cs="Times New Roman"/>
      <w:color w:val="0000FF"/>
      <w:u w:val="single"/>
    </w:rPr>
  </w:style>
  <w:style w:type="paragraph" w:styleId="Testonotaapidipagina">
    <w:name w:val="footnote text"/>
    <w:basedOn w:val="Normale"/>
    <w:link w:val="TestonotaapidipaginaCarattere"/>
    <w:rsid w:val="00D95CEB"/>
    <w:pPr>
      <w:spacing w:line="240" w:lineRule="auto"/>
    </w:pPr>
    <w:rPr>
      <w:szCs w:val="20"/>
    </w:rPr>
  </w:style>
  <w:style w:type="character" w:customStyle="1" w:styleId="TestonotaapidipaginaCarattere">
    <w:name w:val="Testo nota a piè di pagina Carattere"/>
    <w:basedOn w:val="Carpredefinitoparagrafo"/>
    <w:link w:val="Testonotaapidipagina"/>
    <w:rsid w:val="00D95CEB"/>
  </w:style>
  <w:style w:type="character" w:styleId="Rimandonotaapidipagina">
    <w:name w:val="footnote reference"/>
    <w:basedOn w:val="Carpredefinitoparagrafo"/>
    <w:rsid w:val="00D95CEB"/>
    <w:rPr>
      <w:vertAlign w:val="superscript"/>
    </w:rPr>
  </w:style>
  <w:style w:type="character" w:styleId="Menzionenonrisolta">
    <w:name w:val="Unresolved Mention"/>
    <w:basedOn w:val="Carpredefinitoparagrafo"/>
    <w:uiPriority w:val="99"/>
    <w:semiHidden/>
    <w:unhideWhenUsed/>
    <w:rsid w:val="006C5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ibrerie.unicatt.it/scheda-libro/varian-hal-r/microeconomia-9788875433079-179129.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9FB313727E2C943AEA4A5C939B9A552" ma:contentTypeVersion="13" ma:contentTypeDescription="Creare un nuovo documento." ma:contentTypeScope="" ma:versionID="1b33eee3be11932ea01e579f8f207654">
  <xsd:schema xmlns:xsd="http://www.w3.org/2001/XMLSchema" xmlns:xs="http://www.w3.org/2001/XMLSchema" xmlns:p="http://schemas.microsoft.com/office/2006/metadata/properties" xmlns:ns3="3e4255e8-797e-4548-ac89-1789c2211914" xmlns:ns4="8326b387-fbad-4b35-ae86-7b277b7bbd49" targetNamespace="http://schemas.microsoft.com/office/2006/metadata/properties" ma:root="true" ma:fieldsID="0018c9ce492e304b2e328c30e23fc5bf" ns3:_="" ns4:_="">
    <xsd:import namespace="3e4255e8-797e-4548-ac89-1789c2211914"/>
    <xsd:import namespace="8326b387-fbad-4b35-ae86-7b277b7bbd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255e8-797e-4548-ac89-1789c2211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6b387-fbad-4b35-ae86-7b277b7bbd49"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F16A4-B1D0-4DD5-9396-6DCD24D04E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C2E207-A889-465C-86B4-71C376F1A3CF}">
  <ds:schemaRefs>
    <ds:schemaRef ds:uri="http://schemas.openxmlformats.org/officeDocument/2006/bibliography"/>
  </ds:schemaRefs>
</ds:datastoreItem>
</file>

<file path=customXml/itemProps3.xml><?xml version="1.0" encoding="utf-8"?>
<ds:datastoreItem xmlns:ds="http://schemas.openxmlformats.org/officeDocument/2006/customXml" ds:itemID="{73EDE25D-5EA6-418F-B959-4783123CF2DC}">
  <ds:schemaRefs>
    <ds:schemaRef ds:uri="http://schemas.microsoft.com/sharepoint/v3/contenttype/forms"/>
  </ds:schemaRefs>
</ds:datastoreItem>
</file>

<file path=customXml/itemProps4.xml><?xml version="1.0" encoding="utf-8"?>
<ds:datastoreItem xmlns:ds="http://schemas.openxmlformats.org/officeDocument/2006/customXml" ds:itemID="{0FD86750-50CB-44F8-AA9B-D8AF4620E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255e8-797e-4548-ac89-1789c2211914"/>
    <ds:schemaRef ds:uri="8326b387-fbad-4b35-ae86-7b277b7bb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747</Words>
  <Characters>4722</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2023-07-27T11:05:00Z</dcterms:created>
  <dcterms:modified xsi:type="dcterms:W3CDTF">2023-07-27T12:07:00Z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0x01010019FB313727E2C943AEA4A5C939B9A552</vt:lpwstr>
  </property>
</Properties>
</file>