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864D" w14:textId="0E4972A2" w:rsidR="00922F48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sz w:val="18"/>
          <w:szCs w:val="20"/>
          <w:lang w:eastAsia="it-IT"/>
        </w:rPr>
        <w:t>Diritto delle crisi di impresa</w:t>
      </w:r>
    </w:p>
    <w:p w14:paraId="32BF6C32" w14:textId="5F63F897" w:rsidR="00922F48" w:rsidRPr="00922F48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mallCaps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smallCaps/>
          <w:sz w:val="18"/>
          <w:szCs w:val="20"/>
          <w:lang w:eastAsia="it-IT"/>
        </w:rPr>
        <w:t>Prof. Amedeo Valzer</w:t>
      </w:r>
    </w:p>
    <w:p w14:paraId="0E8342F0" w14:textId="603F31F6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5CABA9D5" w14:textId="69CF3A3B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fornirà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allo studente un quadro complessivo della disciplina giuridica delle procedure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di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="004B4B65">
        <w:rPr>
          <w:rFonts w:ascii="Times" w:eastAsia="Times New Roman" w:hAnsi="Times" w:cs="Times New Roman"/>
          <w:sz w:val="20"/>
          <w:szCs w:val="20"/>
          <w:lang w:eastAsia="it-IT"/>
        </w:rPr>
        <w:t xml:space="preserve">gestione e di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soluzione delle crisi 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ell’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impresa.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Verranno illustrati,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sul piano teorico e pratico,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gli istituti finalizzati alla rilevazione e alla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prevenzione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delle crisi di impresa e saranno esaminate le singole procedure concorsuali,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sia quelle aventi finalità conservativa, sia quelle aventi finalità liquidatoria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.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>S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aranno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>altresì 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edicati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brevi cenni alle procedure previste per gli operatori economici diversi dalle imprese commerciali.</w:t>
      </w:r>
    </w:p>
    <w:p w14:paraId="409F3682" w14:textId="77777777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Al termine del corso lo studente:</w:t>
      </w:r>
    </w:p>
    <w:p w14:paraId="36FAE2CF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1.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conoscerà e saprà inquadrare le funzioni e le finalità delle procedure oggetto del programma del corso;</w:t>
      </w:r>
    </w:p>
    <w:p w14:paraId="51DBE0E9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2.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applicare le competenze così acquisite secondo un approccio professionale orientato ad argomentare e risolvere le problematiche di diritto concorsuale;</w:t>
      </w:r>
    </w:p>
    <w:p w14:paraId="7B502FF2" w14:textId="787F4B35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3.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 xml:space="preserve">saprà formulare giudizi e valutazioni sulla base di informazioni, anche incomplete,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 xml:space="preserve">e integrare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le conoscenze attingendo alle fonti normative, giurisprudenziali e di prassi di volta in volta applicabili;</w:t>
      </w:r>
    </w:p>
    <w:p w14:paraId="4E4C46EE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4.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comunicare in modo chiaro e privo di ambiguità le proprie conclusioni nei confronti di interlocutori specialisti e non specialisti;</w:t>
      </w:r>
    </w:p>
    <w:p w14:paraId="5F4A0794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5.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cogliere le criticità che potranno presentarsi nella gestione delle crisi d’impresa ed assumere le necessarie determinazioni con adeguato grado di autonomia di giudizio.</w:t>
      </w:r>
    </w:p>
    <w:p w14:paraId="3611A0EB" w14:textId="77777777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5D571D47" w14:textId="3E9AB31D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1. La nozione di crisi normativamente rilevante. 2.</w:t>
      </w:r>
      <w:r w:rsidR="004B4B65">
        <w:rPr>
          <w:rFonts w:ascii="Times" w:eastAsia="Times New Roman" w:hAnsi="Times" w:cs="Times New Roman"/>
          <w:sz w:val="20"/>
          <w:szCs w:val="20"/>
          <w:lang w:eastAsia="it-IT"/>
        </w:rPr>
        <w:t xml:space="preserve"> La c</w:t>
      </w:r>
      <w:r w:rsidR="004B4B65" w:rsidRPr="004B4B65">
        <w:rPr>
          <w:rFonts w:ascii="Times" w:eastAsia="Times New Roman" w:hAnsi="Times" w:cs="Times New Roman"/>
          <w:sz w:val="20"/>
          <w:szCs w:val="20"/>
          <w:lang w:eastAsia="it-IT"/>
        </w:rPr>
        <w:t>omposizione negoziata della crisi di impresa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. 3. Gli accordi stragiudiziali e i piani attestati di risanamento. 4. Gli accordi di ristrutturazione (proposta e effetti). 5. L’accesso alle procedure concorsuali (domanda di ammissione; ufficio giudiziale; effetti). 6. Il concordato preventivo (proposta; amministrazione; effetti; voto dei creditori; omologazione; esecuzione; risoluzione e annullamento). 7. </w:t>
      </w:r>
      <w:r w:rsidR="009A1B5C">
        <w:rPr>
          <w:rFonts w:ascii="Times" w:eastAsia="Times New Roman" w:hAnsi="Times" w:cs="Times New Roman"/>
          <w:sz w:val="20"/>
          <w:szCs w:val="20"/>
          <w:lang w:eastAsia="it-IT"/>
        </w:rPr>
        <w:t xml:space="preserve">La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liquidazione giudiziale (ruolo del curatore; effetti; patrimonio </w:t>
      </w:r>
      <w:r w:rsidRPr="0012352C">
        <w:rPr>
          <w:rFonts w:ascii="Times New Roman" w:eastAsia="Times New Roman" w:hAnsi="Times New Roman" w:cs="Times New Roman"/>
          <w:sz w:val="20"/>
          <w:szCs w:val="20"/>
          <w:lang w:eastAsia="it-IT"/>
        </w:rPr>
        <w:t>«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responsabile</w:t>
      </w:r>
      <w:r w:rsidRPr="0012352C">
        <w:rPr>
          <w:rFonts w:ascii="Times New Roman" w:eastAsia="Times New Roman" w:hAnsi="Times New Roman" w:cs="Times New Roman"/>
          <w:sz w:val="20"/>
          <w:szCs w:val="20"/>
          <w:lang w:eastAsia="it-IT"/>
        </w:rPr>
        <w:t>»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e sua ricostruzione; stato passivo; liquidazione</w:t>
      </w:r>
      <w:r w:rsidR="009A1B5C">
        <w:rPr>
          <w:rFonts w:ascii="Times" w:eastAsia="Times New Roman" w:hAnsi="Times" w:cs="Times New Roman"/>
          <w:sz w:val="20"/>
          <w:szCs w:val="20"/>
          <w:lang w:eastAsia="it-IT"/>
        </w:rPr>
        <w:t xml:space="preserve"> dell’attivo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; chiusura della procedura). 8. Le procedure di composizione della crisi da sovraindebitamento (cenni)</w:t>
      </w:r>
      <w:r w:rsidRPr="0012352C">
        <w:rPr>
          <w:rFonts w:ascii="Times" w:eastAsia="Times New Roman" w:hAnsi="Times" w:cs="Times New Roman"/>
          <w:i/>
          <w:sz w:val="20"/>
          <w:szCs w:val="20"/>
          <w:lang w:eastAsia="it-IT"/>
        </w:rPr>
        <w:t>.</w:t>
      </w:r>
    </w:p>
    <w:p w14:paraId="720B18B0" w14:textId="13C98251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lastRenderedPageBreak/>
        <w:t>BIBLIOGRAFIA</w:t>
      </w:r>
      <w:r w:rsidR="009131C0">
        <w:rPr>
          <w:rStyle w:val="Rimandonotaapidipagina"/>
          <w:rFonts w:ascii="Times" w:eastAsia="Times New Roman" w:hAnsi="Times" w:cs="Times New Roman"/>
          <w:b/>
          <w:i/>
          <w:sz w:val="18"/>
          <w:szCs w:val="20"/>
          <w:lang w:eastAsia="it-IT"/>
        </w:rPr>
        <w:footnoteReference w:id="1"/>
      </w:r>
    </w:p>
    <w:p w14:paraId="2EBF075B" w14:textId="77777777" w:rsidR="0012352C" w:rsidRPr="0012352C" w:rsidRDefault="0012352C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Materiale normativo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718A0BCB" w14:textId="4FD62B96" w:rsidR="0012352C" w:rsidRPr="0012352C" w:rsidRDefault="008C547C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Co</w:t>
      </w:r>
      <w:r w:rsidR="0012352C"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dice della crisi d’impresa e dell’insolvenza (d. lgs. 12 gennaio 2019, n. 14) 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nonché le a</w:t>
      </w:r>
      <w:r w:rsidR="0012352C"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ltre leggi richiamate a lezione o nei testi di seguito indicati.</w:t>
      </w:r>
    </w:p>
    <w:p w14:paraId="57F34D80" w14:textId="193E060F" w:rsidR="0012352C" w:rsidRDefault="0012352C" w:rsidP="00922F48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Manuald</w:t>
      </w:r>
      <w:r w:rsidR="00180AB2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e d</w:t>
      </w: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i riferimento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4B8D442A" w14:textId="64264A46" w:rsidR="005C597F" w:rsidRDefault="009A1B5C" w:rsidP="009A1B5C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D’Attore Giacomo</w:t>
      </w:r>
      <w:r w:rsidR="005C597F" w:rsidRPr="005C597F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,</w:t>
      </w:r>
      <w:r w:rsidR="005C597F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</w:t>
      </w:r>
      <w:r w:rsidRPr="009A1B5C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Manuale di diritto della crisi e dell'insolvenza</w:t>
      </w:r>
      <w:r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,</w:t>
      </w:r>
      <w:r w:rsidR="005C597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Giappichelli, Torino, 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2022 (o edizione successiva)</w:t>
      </w:r>
      <w:r w:rsidR="005C597F">
        <w:rPr>
          <w:rFonts w:ascii="Times" w:eastAsia="Times New Roman" w:hAnsi="Times" w:cs="Times New Roman"/>
          <w:noProof/>
          <w:sz w:val="18"/>
          <w:szCs w:val="20"/>
          <w:lang w:eastAsia="it-IT"/>
        </w:rPr>
        <w:t>.</w:t>
      </w:r>
      <w:r w:rsidR="009131C0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hyperlink r:id="rId8" w:history="1">
        <w:r w:rsidR="009131C0" w:rsidRPr="009131C0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57A46479" w14:textId="1EEE022A" w:rsidR="0012352C" w:rsidRPr="0012352C" w:rsidRDefault="0012352C" w:rsidP="005C597F">
      <w:pPr>
        <w:spacing w:after="0" w:line="240" w:lineRule="atLeast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Ulteriori riferimenti bibliografici saranno comunicati durante le lezioni e con appositi avvisi sulla</w:t>
      </w:r>
      <w:r w:rsidR="005C597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pagina personale docente. Materiale integrativo </w:t>
      </w:r>
      <w:r w:rsidR="007A069D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verrà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messo a disposizione su </w:t>
      </w:r>
      <w:r w:rsidRPr="0012352C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>blackboard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.</w:t>
      </w:r>
    </w:p>
    <w:p w14:paraId="58AF647A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DIDATTICA DEL CORSO</w:t>
      </w:r>
    </w:p>
    <w:p w14:paraId="5BAE7316" w14:textId="77777777" w:rsidR="0012352C" w:rsidRPr="0012352C" w:rsidRDefault="0012352C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Lezioni in aula. </w:t>
      </w:r>
    </w:p>
    <w:p w14:paraId="4E81F9DE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 xml:space="preserve">METODO </w:t>
      </w:r>
      <w:r w:rsidR="00667B7F"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 xml:space="preserve">E CRITERI </w:t>
      </w: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DI VALUTAZIONE</w:t>
      </w:r>
    </w:p>
    <w:p w14:paraId="6B5BA28C" w14:textId="77777777" w:rsidR="0012352C" w:rsidRPr="0012352C" w:rsidRDefault="0012352C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L’esame mira a valutare il conseguimento degli obiettivi didattici sopra descritti e la preparazione dello studente. Esso si svolge in forma </w:t>
      </w:r>
      <w:r w:rsidR="00512C7C">
        <w:rPr>
          <w:rFonts w:ascii="Times" w:eastAsia="Arial Unicode MS" w:hAnsi="Times" w:cs="Times New Roman"/>
          <w:noProof/>
          <w:sz w:val="18"/>
          <w:szCs w:val="20"/>
          <w:lang w:eastAsia="it-IT"/>
        </w:rPr>
        <w:t>orale</w:t>
      </w: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 e consiste in tre domande </w:t>
      </w:r>
      <w:r w:rsidR="00512C7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sulle varie parti del programma del corso. </w:t>
      </w: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>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Non è prevista la prova intermedia.</w:t>
      </w:r>
    </w:p>
    <w:p w14:paraId="3577BA17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AVVERTENZE E PREREQUISITI</w:t>
      </w:r>
    </w:p>
    <w:p w14:paraId="4D2AC71E" w14:textId="77777777" w:rsidR="00544A84" w:rsidRDefault="0012352C" w:rsidP="00512C7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La frequenza al corso è fortemente raccomandata. Si raccomanda, altresì, di seguire il corso solo dopo aver superato l’esame di Diritto commerciale.</w:t>
      </w:r>
    </w:p>
    <w:p w14:paraId="7FF2F88E" w14:textId="075B299A" w:rsidR="008C547C" w:rsidRPr="00A70751" w:rsidRDefault="008C547C" w:rsidP="008C547C">
      <w:pPr>
        <w:pStyle w:val="Testo2"/>
        <w:spacing w:before="120"/>
        <w:rPr>
          <w:rFonts w:eastAsia="MS Mincho"/>
          <w:i/>
        </w:rPr>
      </w:pPr>
      <w:r w:rsidRPr="00A70751">
        <w:rPr>
          <w:rFonts w:eastAsia="MS Mincho"/>
          <w:i/>
        </w:rPr>
        <w:t xml:space="preserve">Orario </w:t>
      </w:r>
      <w:r>
        <w:rPr>
          <w:rFonts w:eastAsia="MS Mincho"/>
          <w:i/>
        </w:rPr>
        <w:t>e</w:t>
      </w:r>
      <w:r w:rsidRPr="00A70751">
        <w:rPr>
          <w:rFonts w:eastAsia="MS Mincho"/>
          <w:i/>
        </w:rPr>
        <w:t xml:space="preserve"> </w:t>
      </w:r>
      <w:r>
        <w:rPr>
          <w:rFonts w:eastAsia="MS Mincho"/>
          <w:i/>
        </w:rPr>
        <w:t>l</w:t>
      </w:r>
      <w:r w:rsidRPr="00A70751">
        <w:rPr>
          <w:rFonts w:eastAsia="MS Mincho"/>
          <w:i/>
        </w:rPr>
        <w:t xml:space="preserve">uogo </w:t>
      </w:r>
      <w:r>
        <w:rPr>
          <w:rFonts w:eastAsia="MS Mincho"/>
          <w:i/>
        </w:rPr>
        <w:t>d</w:t>
      </w:r>
      <w:r w:rsidRPr="00A70751">
        <w:rPr>
          <w:rFonts w:eastAsia="MS Mincho"/>
          <w:i/>
        </w:rPr>
        <w:t xml:space="preserve">i </w:t>
      </w:r>
      <w:r>
        <w:rPr>
          <w:rFonts w:eastAsia="MS Mincho"/>
          <w:i/>
        </w:rPr>
        <w:t>r</w:t>
      </w:r>
      <w:r w:rsidRPr="00A70751">
        <w:rPr>
          <w:rFonts w:eastAsia="MS Mincho"/>
          <w:i/>
        </w:rPr>
        <w:t xml:space="preserve">icevimento </w:t>
      </w:r>
    </w:p>
    <w:p w14:paraId="27365932" w14:textId="77777777" w:rsidR="008C547C" w:rsidRPr="00227E4B" w:rsidRDefault="008C547C" w:rsidP="008C547C">
      <w:pPr>
        <w:pStyle w:val="Testo2"/>
      </w:pPr>
      <w:r w:rsidRPr="00227E4B">
        <w:t xml:space="preserve">Gli orari di ricevimento sono disponibili </w:t>
      </w:r>
      <w:r w:rsidRPr="002B4937">
        <w:rPr>
          <w:i/>
          <w:iCs/>
        </w:rPr>
        <w:t>on line</w:t>
      </w:r>
      <w:r w:rsidRPr="00227E4B">
        <w:t xml:space="preserve"> nella pagina personale del docente, consulta</w:t>
      </w:r>
      <w:r w:rsidRPr="00A70751">
        <w:t xml:space="preserve">bile al sito </w:t>
      </w:r>
      <w:hyperlink r:id="rId9" w:history="1">
        <w:r w:rsidRPr="00A70751">
          <w:rPr>
            <w:rStyle w:val="Collegamentoipertestuale"/>
          </w:rPr>
          <w:t>http://docenti.unicatt.it/</w:t>
        </w:r>
      </w:hyperlink>
    </w:p>
    <w:sectPr w:rsidR="008C547C" w:rsidRPr="00227E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3942" w14:textId="77777777" w:rsidR="00533BF8" w:rsidRDefault="00533BF8" w:rsidP="0012352C">
      <w:pPr>
        <w:spacing w:after="0" w:line="240" w:lineRule="auto"/>
      </w:pPr>
      <w:r>
        <w:separator/>
      </w:r>
    </w:p>
  </w:endnote>
  <w:endnote w:type="continuationSeparator" w:id="0">
    <w:p w14:paraId="47CFEA1C" w14:textId="77777777" w:rsidR="00533BF8" w:rsidRDefault="00533BF8" w:rsidP="001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BAA4" w14:textId="77777777" w:rsidR="00533BF8" w:rsidRDefault="00533BF8" w:rsidP="0012352C">
      <w:pPr>
        <w:spacing w:after="0" w:line="240" w:lineRule="auto"/>
      </w:pPr>
      <w:r>
        <w:separator/>
      </w:r>
    </w:p>
  </w:footnote>
  <w:footnote w:type="continuationSeparator" w:id="0">
    <w:p w14:paraId="32BD7976" w14:textId="77777777" w:rsidR="00533BF8" w:rsidRDefault="00533BF8" w:rsidP="0012352C">
      <w:pPr>
        <w:spacing w:after="0" w:line="240" w:lineRule="auto"/>
      </w:pPr>
      <w:r>
        <w:continuationSeparator/>
      </w:r>
    </w:p>
  </w:footnote>
  <w:footnote w:id="1">
    <w:p w14:paraId="34990823" w14:textId="57F59E1D" w:rsidR="009131C0" w:rsidRDefault="009131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EC5"/>
    <w:multiLevelType w:val="hybridMultilevel"/>
    <w:tmpl w:val="8E8ABD2A"/>
    <w:lvl w:ilvl="0" w:tplc="70C49E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8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2C"/>
    <w:rsid w:val="0012352C"/>
    <w:rsid w:val="00180AB2"/>
    <w:rsid w:val="002001E5"/>
    <w:rsid w:val="00300F11"/>
    <w:rsid w:val="003707F6"/>
    <w:rsid w:val="004B4B65"/>
    <w:rsid w:val="004C5DC0"/>
    <w:rsid w:val="004E4239"/>
    <w:rsid w:val="00512C7C"/>
    <w:rsid w:val="00533BF8"/>
    <w:rsid w:val="00544A84"/>
    <w:rsid w:val="005C597F"/>
    <w:rsid w:val="00667B7F"/>
    <w:rsid w:val="006732B6"/>
    <w:rsid w:val="006925F8"/>
    <w:rsid w:val="00722A44"/>
    <w:rsid w:val="00766B67"/>
    <w:rsid w:val="007A069D"/>
    <w:rsid w:val="007E66A8"/>
    <w:rsid w:val="00841893"/>
    <w:rsid w:val="008C547C"/>
    <w:rsid w:val="009131C0"/>
    <w:rsid w:val="00922F48"/>
    <w:rsid w:val="00951CCC"/>
    <w:rsid w:val="009A1B5C"/>
    <w:rsid w:val="009C5921"/>
    <w:rsid w:val="009D3904"/>
    <w:rsid w:val="00A8526D"/>
    <w:rsid w:val="00AA0E3C"/>
    <w:rsid w:val="00AF1DDF"/>
    <w:rsid w:val="00B17CD5"/>
    <w:rsid w:val="00B17F08"/>
    <w:rsid w:val="00CA2C57"/>
    <w:rsid w:val="00DC73B6"/>
    <w:rsid w:val="00EE569C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250"/>
  <w15:chartTrackingRefBased/>
  <w15:docId w15:val="{5F3ACDB1-5ACB-44E5-A3EB-77E1340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22F4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2352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235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2C7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47C"/>
    <w:rPr>
      <w:rFonts w:eastAsiaTheme="minorEastAsia"/>
      <w:color w:val="5A5A5A" w:themeColor="text1" w:themeTint="A5"/>
      <w:spacing w:val="15"/>
    </w:rPr>
  </w:style>
  <w:style w:type="paragraph" w:customStyle="1" w:styleId="Testo2">
    <w:name w:val="Testo 2"/>
    <w:rsid w:val="008C54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C54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22F4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como-dattorre/manuale-di-diritto-della-crisi-e-dellinsolvenza-9788892144286-7131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5A1A-C8CD-4EE0-B68C-1F661A5D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Valzer</dc:creator>
  <cp:keywords/>
  <dc:description/>
  <cp:lastModifiedBy>Rolli Andrea</cp:lastModifiedBy>
  <cp:revision>3</cp:revision>
  <dcterms:created xsi:type="dcterms:W3CDTF">2023-07-27T10:54:00Z</dcterms:created>
  <dcterms:modified xsi:type="dcterms:W3CDTF">2023-07-27T11:59:00Z</dcterms:modified>
</cp:coreProperties>
</file>