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0F62" w14:textId="77777777" w:rsidR="005F296E" w:rsidRDefault="005F296E" w:rsidP="005F296E">
      <w:pPr>
        <w:pStyle w:val="Titolo1"/>
        <w:ind w:left="0" w:firstLine="0"/>
      </w:pPr>
      <w:r w:rsidRPr="00F00CAE">
        <w:t>Finanza aziendale (analisi finanziaria e valutazione aziendale) (laurea in Direzione e consulenza aziendale)</w:t>
      </w:r>
    </w:p>
    <w:p w14:paraId="40F7DE65" w14:textId="77777777" w:rsidR="005F296E" w:rsidRDefault="005F296E" w:rsidP="005F296E">
      <w:pPr>
        <w:pStyle w:val="Titolo2"/>
      </w:pPr>
      <w:r w:rsidRPr="00F00CAE">
        <w:t xml:space="preserve">Prof. Luca Francesco Franceschi; Prof. Ernesto Rossi </w:t>
      </w:r>
    </w:p>
    <w:p w14:paraId="001BA096" w14:textId="263AF264" w:rsidR="002D5E17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7B296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EEC5071" w14:textId="77777777" w:rsidR="005F296E" w:rsidRPr="005218FA" w:rsidRDefault="005F296E" w:rsidP="005F296E">
      <w:r w:rsidRPr="005218FA">
        <w:t xml:space="preserve">Il corso affronta la tematica della valutazione di azienda esaminando le singole fasi dell’intero processo in cui si articola (analisi dei bilanci, previsione della </w:t>
      </w:r>
      <w:r w:rsidRPr="005218FA">
        <w:rPr>
          <w:i/>
        </w:rPr>
        <w:t>performance</w:t>
      </w:r>
      <w:r w:rsidRPr="005218FA">
        <w:t xml:space="preserve"> aziendale e applicazione dei cosiddetti «</w:t>
      </w:r>
      <w:proofErr w:type="spellStart"/>
      <w:r w:rsidRPr="005218FA">
        <w:rPr>
          <w:i/>
        </w:rPr>
        <w:t>valuation</w:t>
      </w:r>
      <w:proofErr w:type="spellEnd"/>
      <w:r w:rsidRPr="005218FA">
        <w:rPr>
          <w:i/>
        </w:rPr>
        <w:t xml:space="preserve"> models</w:t>
      </w:r>
      <w:r w:rsidRPr="005218FA">
        <w:t>»).</w:t>
      </w:r>
    </w:p>
    <w:p w14:paraId="0AD6D081" w14:textId="77777777" w:rsidR="005F296E" w:rsidRPr="005218FA" w:rsidRDefault="005F296E" w:rsidP="005F296E">
      <w:r w:rsidRPr="005218FA">
        <w:t xml:space="preserve">Il corso si propone di fornire le conoscenze fondamentali per applicare le metodologie valutative impiegate dagli analisti finanziari, </w:t>
      </w:r>
      <w:r w:rsidRPr="005218FA">
        <w:rPr>
          <w:i/>
        </w:rPr>
        <w:t>investment</w:t>
      </w:r>
      <w:r w:rsidRPr="005218FA">
        <w:t xml:space="preserve"> e </w:t>
      </w:r>
      <w:r w:rsidRPr="005218FA">
        <w:rPr>
          <w:i/>
        </w:rPr>
        <w:t>merchant</w:t>
      </w:r>
      <w:r w:rsidRPr="005218FA">
        <w:t xml:space="preserve"> </w:t>
      </w:r>
      <w:r w:rsidRPr="005218FA">
        <w:rPr>
          <w:i/>
        </w:rPr>
        <w:t>banks</w:t>
      </w:r>
      <w:r w:rsidRPr="005218FA">
        <w:t xml:space="preserve"> e società di consulenza per la valutazione di imprese.</w:t>
      </w:r>
    </w:p>
    <w:p w14:paraId="6E09915E" w14:textId="77777777" w:rsidR="005F296E" w:rsidRPr="005218FA" w:rsidRDefault="005F296E" w:rsidP="005F296E">
      <w:r w:rsidRPr="005218FA">
        <w:t>Al termine del corso gli studenti devono:</w:t>
      </w:r>
    </w:p>
    <w:p w14:paraId="001ABF4F" w14:textId="77777777" w:rsidR="005F296E" w:rsidRPr="005218FA" w:rsidRDefault="005F296E" w:rsidP="00026EA4">
      <w:pPr>
        <w:ind w:left="284" w:hanging="284"/>
      </w:pPr>
      <w:r w:rsidRPr="005218FA">
        <w:t>1.</w:t>
      </w:r>
      <w:r w:rsidRPr="005218FA">
        <w:tab/>
        <w:t xml:space="preserve">aver acquisito la conoscenza e la comprensione delle modalità tecnico/operative finalizzate </w:t>
      </w:r>
      <w:r>
        <w:t>all’analisi dell’economicità storica e prospettica dell’impresa oggetto di valutazione</w:t>
      </w:r>
      <w:r w:rsidRPr="005218FA">
        <w:t>;</w:t>
      </w:r>
    </w:p>
    <w:p w14:paraId="1D29EC6E" w14:textId="77777777" w:rsidR="005F296E" w:rsidRPr="005218FA" w:rsidRDefault="005F296E" w:rsidP="00026EA4">
      <w:pPr>
        <w:ind w:left="284" w:hanging="284"/>
      </w:pPr>
      <w:r w:rsidRPr="005218FA">
        <w:t>2.</w:t>
      </w:r>
      <w:r w:rsidRPr="005218FA">
        <w:tab/>
        <w:t xml:space="preserve">aver acquisito la conoscenza e la comprensione </w:t>
      </w:r>
      <w:r>
        <w:t>delle</w:t>
      </w:r>
      <w:r w:rsidRPr="005218FA">
        <w:t xml:space="preserve"> diverse fasi in cui è articolato </w:t>
      </w:r>
      <w:r>
        <w:t>il processo valutativo del capitale di un’impresa</w:t>
      </w:r>
      <w:r w:rsidRPr="005218FA">
        <w:t>;</w:t>
      </w:r>
    </w:p>
    <w:p w14:paraId="6C5FEA50" w14:textId="77777777" w:rsidR="005F296E" w:rsidRPr="005218FA" w:rsidRDefault="005F296E" w:rsidP="00026EA4">
      <w:pPr>
        <w:ind w:left="284" w:hanging="284"/>
      </w:pPr>
      <w:r w:rsidRPr="005218FA">
        <w:t>3.</w:t>
      </w:r>
      <w:r w:rsidRPr="005218FA">
        <w:tab/>
        <w:t xml:space="preserve">avere acquisito la capacità di </w:t>
      </w:r>
      <w:r>
        <w:t>implementare i vari modelli finanziari per la stima del valore d’impresa</w:t>
      </w:r>
      <w:r w:rsidRPr="005218FA">
        <w:t>;</w:t>
      </w:r>
    </w:p>
    <w:p w14:paraId="36ACE9B0" w14:textId="77777777" w:rsidR="005F296E" w:rsidRPr="005218FA" w:rsidRDefault="005F296E" w:rsidP="00026EA4">
      <w:pPr>
        <w:ind w:left="284" w:hanging="284"/>
      </w:pPr>
      <w:r w:rsidRPr="005218FA">
        <w:t>4.</w:t>
      </w:r>
      <w:r w:rsidRPr="005218FA">
        <w:tab/>
        <w:t xml:space="preserve">avere sviluppato competenze utili per svolgere in autonomia </w:t>
      </w:r>
      <w:r>
        <w:t>una valutazione del capitale d’impresa nella prospettiva dell’analista finanziario;</w:t>
      </w:r>
    </w:p>
    <w:p w14:paraId="228DCAB3" w14:textId="77777777" w:rsidR="005F296E" w:rsidRPr="005218FA" w:rsidRDefault="005F296E" w:rsidP="00026EA4">
      <w:pPr>
        <w:ind w:left="284" w:hanging="284"/>
      </w:pPr>
      <w:r w:rsidRPr="005218FA">
        <w:t>5.</w:t>
      </w:r>
      <w:r w:rsidRPr="005218FA">
        <w:tab/>
        <w:t>avere acquisito un linguaggio tecnico che consenta loro di comunicare con chiarezza ed efficacia le conoscenze acquisite.</w:t>
      </w:r>
    </w:p>
    <w:p w14:paraId="34A5ECA0" w14:textId="77777777" w:rsidR="005F296E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73876C" w14:textId="0407F0DB" w:rsidR="005F296E" w:rsidRPr="005218FA" w:rsidRDefault="005F296E" w:rsidP="005F296E">
      <w:r w:rsidRPr="005218FA">
        <w:rPr>
          <w:smallCaps/>
          <w:noProof/>
          <w:sz w:val="18"/>
          <w:szCs w:val="20"/>
        </w:rPr>
        <w:t xml:space="preserve">I Modulo: </w:t>
      </w:r>
      <w:r w:rsidRPr="00907ECE">
        <w:rPr>
          <w:i/>
        </w:rPr>
        <w:t>Prof. Luca Francesco Franceschi</w:t>
      </w:r>
    </w:p>
    <w:p w14:paraId="571F1725" w14:textId="77777777" w:rsidR="005F296E" w:rsidRPr="005218FA" w:rsidRDefault="005F296E" w:rsidP="005F296E">
      <w:r w:rsidRPr="005218FA">
        <w:t>L’analisi interpretativa dei risultati aziendali.</w:t>
      </w:r>
    </w:p>
    <w:p w14:paraId="5EC7C945" w14:textId="77777777" w:rsidR="005F296E" w:rsidRPr="005218FA" w:rsidRDefault="005F296E" w:rsidP="005F296E">
      <w:r w:rsidRPr="005218FA">
        <w:t>–</w:t>
      </w:r>
      <w:r w:rsidRPr="005218FA">
        <w:tab/>
        <w:t>L’analisi storica del conto economico e dello stato patrimoniale.</w:t>
      </w:r>
    </w:p>
    <w:p w14:paraId="31814C4F" w14:textId="77777777" w:rsidR="005F296E" w:rsidRPr="005218FA" w:rsidRDefault="005F296E" w:rsidP="005F296E">
      <w:r w:rsidRPr="005218FA">
        <w:t>–</w:t>
      </w:r>
      <w:r w:rsidRPr="005218FA">
        <w:tab/>
        <w:t>Il calcolo e l’analisi dei flussi di cassa.</w:t>
      </w:r>
    </w:p>
    <w:p w14:paraId="48595049" w14:textId="77777777" w:rsidR="005F296E" w:rsidRPr="005218FA" w:rsidRDefault="005F296E" w:rsidP="005F296E">
      <w:r w:rsidRPr="005218FA">
        <w:t>L’elaborazione delle previsioni della performance aziendale.</w:t>
      </w:r>
    </w:p>
    <w:p w14:paraId="2569D557" w14:textId="77777777" w:rsidR="005F296E" w:rsidRPr="005218FA" w:rsidRDefault="005F296E" w:rsidP="005F296E">
      <w:r>
        <w:t>–</w:t>
      </w:r>
      <w:r>
        <w:tab/>
        <w:t>L’individuazione delle «</w:t>
      </w:r>
      <w:r w:rsidRPr="005218FA">
        <w:t>determinanti</w:t>
      </w:r>
      <w:r>
        <w:t>»</w:t>
      </w:r>
      <w:r w:rsidRPr="005218FA">
        <w:t xml:space="preserve"> della crescita.</w:t>
      </w:r>
    </w:p>
    <w:p w14:paraId="682A35C2" w14:textId="77777777" w:rsidR="005F296E" w:rsidRPr="005218FA" w:rsidRDefault="005F296E" w:rsidP="005F296E">
      <w:r w:rsidRPr="005218FA">
        <w:t>–</w:t>
      </w:r>
      <w:r w:rsidRPr="005218FA">
        <w:tab/>
        <w:t>La stima delle variabili economiche, patrimoniali e finanziarie.</w:t>
      </w:r>
    </w:p>
    <w:p w14:paraId="365D346F" w14:textId="77777777" w:rsidR="005F296E" w:rsidRPr="005218FA" w:rsidRDefault="005F296E" w:rsidP="005F296E">
      <w:r w:rsidRPr="005218FA">
        <w:t>–</w:t>
      </w:r>
      <w:r w:rsidRPr="005218FA">
        <w:tab/>
        <w:t>La stima dei flussi di cassa.</w:t>
      </w:r>
    </w:p>
    <w:p w14:paraId="30B161D0" w14:textId="77777777" w:rsidR="005F296E" w:rsidRPr="005218FA" w:rsidRDefault="005F296E" w:rsidP="005F296E">
      <w:r w:rsidRPr="005218FA">
        <w:t>I modelli finanziari (</w:t>
      </w:r>
      <w:proofErr w:type="spellStart"/>
      <w:r w:rsidRPr="005218FA">
        <w:t>Dividend</w:t>
      </w:r>
      <w:proofErr w:type="spellEnd"/>
      <w:r w:rsidRPr="005218FA">
        <w:t xml:space="preserve"> Discount Model e Free Cash Flow Model).</w:t>
      </w:r>
    </w:p>
    <w:p w14:paraId="20023A16" w14:textId="509624E7" w:rsidR="005F296E" w:rsidRPr="005218FA" w:rsidRDefault="005F296E" w:rsidP="005F296E">
      <w:pPr>
        <w:spacing w:before="120"/>
      </w:pPr>
      <w:r w:rsidRPr="005218FA">
        <w:rPr>
          <w:smallCaps/>
          <w:noProof/>
          <w:sz w:val="18"/>
          <w:szCs w:val="20"/>
        </w:rPr>
        <w:t xml:space="preserve">II Modulo: </w:t>
      </w:r>
      <w:r w:rsidRPr="00907ECE">
        <w:rPr>
          <w:i/>
        </w:rPr>
        <w:t>Prof. Ernesto Rossi</w:t>
      </w:r>
    </w:p>
    <w:p w14:paraId="107B2973" w14:textId="77777777" w:rsidR="005F296E" w:rsidRPr="005218FA" w:rsidRDefault="005F296E" w:rsidP="005F296E">
      <w:r w:rsidRPr="005218FA">
        <w:t>I metodi valutativi per l’impairment test previsto dallo IAS 36.</w:t>
      </w:r>
    </w:p>
    <w:p w14:paraId="5FF1D0E1" w14:textId="77777777" w:rsidR="005F296E" w:rsidRPr="005218FA" w:rsidRDefault="005F296E" w:rsidP="005F296E">
      <w:r w:rsidRPr="005218FA">
        <w:t xml:space="preserve">Il </w:t>
      </w:r>
      <w:proofErr w:type="spellStart"/>
      <w:r w:rsidRPr="005218FA">
        <w:t>Residual</w:t>
      </w:r>
      <w:proofErr w:type="spellEnd"/>
      <w:r w:rsidRPr="005218FA">
        <w:t xml:space="preserve"> </w:t>
      </w:r>
      <w:proofErr w:type="spellStart"/>
      <w:r w:rsidRPr="005218FA">
        <w:t>Income</w:t>
      </w:r>
      <w:proofErr w:type="spellEnd"/>
      <w:r w:rsidRPr="005218FA">
        <w:t xml:space="preserve"> Model (RIM).</w:t>
      </w:r>
    </w:p>
    <w:p w14:paraId="5AE7391A" w14:textId="77777777" w:rsidR="005F296E" w:rsidRPr="005218FA" w:rsidRDefault="005F296E" w:rsidP="005F296E">
      <w:r w:rsidRPr="005218FA">
        <w:t>I moltiplicatori di mercato.</w:t>
      </w:r>
    </w:p>
    <w:p w14:paraId="738693D4" w14:textId="77777777" w:rsidR="005F296E" w:rsidRPr="005218FA" w:rsidRDefault="005F296E" w:rsidP="005F296E">
      <w:r w:rsidRPr="005218FA">
        <w:t>Il metodo delle transazioni comparabili.</w:t>
      </w:r>
    </w:p>
    <w:p w14:paraId="0CE20FC0" w14:textId="6CC8CDF5" w:rsidR="005F296E" w:rsidRPr="00BC0547" w:rsidRDefault="005F296E" w:rsidP="00BC05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D7E58">
        <w:rPr>
          <w:rStyle w:val="Rimandonotaapidipagina"/>
          <w:b/>
          <w:i/>
          <w:sz w:val="18"/>
        </w:rPr>
        <w:footnoteReference w:id="1"/>
      </w:r>
    </w:p>
    <w:p w14:paraId="53544E43" w14:textId="6782E671" w:rsidR="005F296E" w:rsidRPr="005218FA" w:rsidRDefault="00DE2A63" w:rsidP="00026EA4">
      <w:pPr>
        <w:pStyle w:val="Testo1"/>
      </w:pPr>
      <w:r>
        <w:t>I testi e i</w:t>
      </w:r>
      <w:r w:rsidR="005F296E" w:rsidRPr="005218FA">
        <w:t xml:space="preserve"> materiali a supporto del corso saranno resi </w:t>
      </w:r>
      <w:r>
        <w:t>noti all’inizio del corso, nonché</w:t>
      </w:r>
      <w:r w:rsidR="005F296E" w:rsidRPr="005218FA">
        <w:t xml:space="preserve"> on-line sulla piattaforma Blackboard dedicata.</w:t>
      </w:r>
    </w:p>
    <w:p w14:paraId="644B3588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519067" w14:textId="46FCC0FB" w:rsidR="005F296E" w:rsidRDefault="005F296E" w:rsidP="005F296E">
      <w:pPr>
        <w:pStyle w:val="Testo2"/>
      </w:pPr>
      <w:r w:rsidRPr="004F5967">
        <w:t>Il corso, erogato in modalità blended, prevede attività in forma residenziale (50%) e in remoto (50%). Le attività residenziali si fondano sull’utilizzo di lezioni</w:t>
      </w:r>
      <w:r>
        <w:t xml:space="preserve"> interattive di inquadramento e</w:t>
      </w:r>
      <w:r w:rsidRPr="004F5967">
        <w:t xml:space="preserve"> analisi di casi. Le attività in remoto prevedono la fruizione di videolezioni (asincrone), webinar esercitativi e feed-back-live (sincroni realizzati in webconference). Il syllabus contenente il programma analitico del corso sarà comunicato in Blackboard.</w:t>
      </w:r>
    </w:p>
    <w:p w14:paraId="381D8BC5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87E1ED" w14:textId="77777777" w:rsidR="005F296E" w:rsidRPr="00037AB2" w:rsidRDefault="005F296E" w:rsidP="005F296E">
      <w:pPr>
        <w:pStyle w:val="Testo2"/>
      </w:pPr>
      <w:r w:rsidRPr="00037AB2">
        <w:t>A.</w:t>
      </w:r>
      <w:r w:rsidRPr="00037AB2">
        <w:tab/>
      </w:r>
      <w:r w:rsidRPr="00037AB2">
        <w:rPr>
          <w:i/>
        </w:rPr>
        <w:t>Valutazione progressiva in itinere</w:t>
      </w:r>
    </w:p>
    <w:p w14:paraId="57F32760" w14:textId="16F3F6D6" w:rsidR="005F296E" w:rsidRPr="00037AB2" w:rsidRDefault="005F296E" w:rsidP="005F296E">
      <w:pPr>
        <w:pStyle w:val="Testo2"/>
      </w:pPr>
      <w:r w:rsidRPr="00037AB2">
        <w:t xml:space="preserve">Per gli studenti che optano per una valutazione progressiva in itinere si prevede che: il </w:t>
      </w:r>
      <w:r w:rsidR="001F02A5" w:rsidRPr="00037AB2">
        <w:t>5</w:t>
      </w:r>
      <w:r w:rsidRPr="00037AB2">
        <w:t>0% della valutazione sia effettuato mediante due prove (</w:t>
      </w:r>
      <w:r w:rsidR="00715258" w:rsidRPr="00037AB2">
        <w:t xml:space="preserve">una prova individuale, il cui peso percentuale sulla valutazione complessiva è pari al 20%, e </w:t>
      </w:r>
      <w:r w:rsidRPr="00037AB2">
        <w:t>una prova d’aula</w:t>
      </w:r>
      <w:r w:rsidR="00715258" w:rsidRPr="00037AB2">
        <w:t>, il cui peso percentuale sulla valutazione complessiva è pari al 30%</w:t>
      </w:r>
      <w:r w:rsidRPr="00037AB2">
        <w:t xml:space="preserve">), somministrate durante lo svolgimento del corso, secondo modalità, contenuti e tempistiche che saranno pubblicati nell’area Blackboard riservata agli studenti iscritti al corso; il </w:t>
      </w:r>
      <w:r w:rsidR="001F02A5" w:rsidRPr="00037AB2">
        <w:t>5</w:t>
      </w:r>
      <w:r w:rsidRPr="00037AB2">
        <w:t>0% della valutazione sia effettuato mediante una prova orale finale.</w:t>
      </w:r>
    </w:p>
    <w:p w14:paraId="263A6565" w14:textId="77777777" w:rsidR="005F296E" w:rsidRPr="00715258" w:rsidRDefault="005F296E" w:rsidP="005F296E">
      <w:pPr>
        <w:pStyle w:val="Testo2"/>
      </w:pPr>
      <w:r w:rsidRPr="00456DA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29508D2A" w14:textId="77777777" w:rsidR="005F296E" w:rsidRPr="00715258" w:rsidRDefault="005F296E" w:rsidP="005F296E">
      <w:pPr>
        <w:pStyle w:val="Testo2"/>
        <w:spacing w:before="120"/>
      </w:pPr>
      <w:r w:rsidRPr="00715258">
        <w:t>B.</w:t>
      </w:r>
      <w:r w:rsidRPr="00715258">
        <w:tab/>
      </w:r>
      <w:r w:rsidRPr="00715258">
        <w:rPr>
          <w:i/>
        </w:rPr>
        <w:t>Valutazione unitaria sommativa</w:t>
      </w:r>
    </w:p>
    <w:p w14:paraId="124443F3" w14:textId="77777777" w:rsidR="005F296E" w:rsidRPr="00715258" w:rsidRDefault="005F296E" w:rsidP="005F296E">
      <w:pPr>
        <w:pStyle w:val="Testo2"/>
      </w:pPr>
      <w:r w:rsidRPr="00715258">
        <w:t xml:space="preserve">Per gli studenti che intendono optare per una valutazione unitaria in sede di appello di esame, l’esame si articola in una prova scritta della durata di circa due ore, a cui seguirà una prova orale obbligatoria. </w:t>
      </w:r>
    </w:p>
    <w:p w14:paraId="5FEF83E3" w14:textId="77777777" w:rsidR="005F296E" w:rsidRDefault="005F296E" w:rsidP="005F296E">
      <w:pPr>
        <w:spacing w:before="240" w:after="120" w:line="240" w:lineRule="exact"/>
        <w:rPr>
          <w:b/>
          <w:i/>
          <w:sz w:val="18"/>
        </w:rPr>
      </w:pPr>
      <w:r w:rsidRPr="00715258">
        <w:rPr>
          <w:b/>
          <w:i/>
          <w:sz w:val="18"/>
        </w:rPr>
        <w:t>AVVERTENZE E PREREQUISITI</w:t>
      </w:r>
    </w:p>
    <w:p w14:paraId="02A387AA" w14:textId="77777777" w:rsidR="005F296E" w:rsidRPr="005F296E" w:rsidRDefault="005F296E" w:rsidP="005F296E">
      <w:pPr>
        <w:pStyle w:val="Testo2"/>
      </w:pPr>
      <w:r w:rsidRPr="005F296E">
        <w:t>Ai fini di un utile ed efficace frequentazione delle lezioni è richiesta la conoscenza preliminare delle tecniche di predisposizione del bilancio di esercizio, dei principi contabili nazionali e internazionali e delle logiche sottostanti a un’operazione di M&amp;A.</w:t>
      </w:r>
    </w:p>
    <w:p w14:paraId="56984352" w14:textId="77777777" w:rsidR="005F296E" w:rsidRPr="005F296E" w:rsidRDefault="005F296E" w:rsidP="005F296E">
      <w:pPr>
        <w:pStyle w:val="Testo2"/>
      </w:pPr>
      <w:r w:rsidRPr="005F296E">
        <w:t>Gli studenti, eventualmente non in possesso di tali conoscenze preliminari, dovranno farsi carico di acquisirle attraverso un’attività di studio individuale così da potere seguire efficacemente il corso.</w:t>
      </w:r>
    </w:p>
    <w:p w14:paraId="2A5B9455" w14:textId="77777777" w:rsidR="005F296E" w:rsidRPr="005F296E" w:rsidRDefault="005F296E" w:rsidP="005F296E">
      <w:pPr>
        <w:pStyle w:val="Testo2"/>
      </w:pPr>
      <w:r w:rsidRPr="005F296E">
        <w:t>A tal fine, si suggeriscono i seguenti testi:</w:t>
      </w:r>
    </w:p>
    <w:p w14:paraId="16564ECF" w14:textId="5E4608F5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lastRenderedPageBreak/>
        <w:tab/>
      </w:r>
      <w:r w:rsidR="005F296E" w:rsidRPr="00026EA4">
        <w:rPr>
          <w:smallCaps/>
          <w:sz w:val="16"/>
        </w:rPr>
        <w:t>L.F. Franceschi</w:t>
      </w:r>
      <w:r w:rsidR="005F296E" w:rsidRPr="00026EA4">
        <w:rPr>
          <w:sz w:val="16"/>
        </w:rPr>
        <w:t xml:space="preserve"> </w:t>
      </w:r>
      <w:r w:rsidR="005F296E" w:rsidRPr="00026EA4">
        <w:rPr>
          <w:spacing w:val="-5"/>
        </w:rPr>
        <w:t>(a cura di)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5F296E" w:rsidRPr="005F296E">
        <w:rPr>
          <w:spacing w:val="-5"/>
        </w:rPr>
        <w:t xml:space="preserve"> Vita e Pensiero, Milano, 2017.</w:t>
      </w:r>
      <w:r w:rsidR="00BD7E58">
        <w:rPr>
          <w:spacing w:val="-5"/>
        </w:rPr>
        <w:t xml:space="preserve"> </w:t>
      </w:r>
      <w:hyperlink r:id="rId7" w:history="1">
        <w:r w:rsidR="00BD7E58" w:rsidRPr="00BD7E5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1A0B15" w14:textId="75180052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5F296E" w:rsidRPr="005F296E">
        <w:rPr>
          <w:spacing w:val="-5"/>
        </w:rPr>
        <w:t xml:space="preserve"> Giuffré, Milano, 2017.</w:t>
      </w:r>
      <w:r w:rsidR="00BD7E58">
        <w:rPr>
          <w:spacing w:val="-5"/>
        </w:rPr>
        <w:t xml:space="preserve"> </w:t>
      </w:r>
      <w:hyperlink r:id="rId8" w:history="1">
        <w:r w:rsidR="00BD7E58" w:rsidRPr="00BD7E5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A27DABA" w14:textId="53D041F0" w:rsidR="005F296E" w:rsidRDefault="00B91693" w:rsidP="005F296E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5F296E" w:rsidRPr="00026EA4">
        <w:rPr>
          <w:rFonts w:eastAsia="Calibri"/>
          <w:smallCaps/>
          <w:spacing w:val="-5"/>
          <w:sz w:val="16"/>
        </w:rPr>
        <w:t xml:space="preserve"> </w:t>
      </w:r>
      <w:r w:rsidR="005F296E" w:rsidRPr="00026EA4">
        <w:rPr>
          <w:rFonts w:eastAsia="Calibri"/>
          <w:spacing w:val="-5"/>
        </w:rPr>
        <w:t>(a cura di)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46F50391" w14:textId="2EB74DBB" w:rsidR="001E3C02" w:rsidRPr="007B2964" w:rsidRDefault="007B2964" w:rsidP="007B2964">
      <w:pPr>
        <w:spacing w:before="120" w:line="240" w:lineRule="exact"/>
        <w:rPr>
          <w:bCs/>
          <w:i/>
          <w:sz w:val="18"/>
        </w:rPr>
      </w:pPr>
      <w:r>
        <w:rPr>
          <w:bCs/>
          <w:i/>
          <w:sz w:val="18"/>
        </w:rPr>
        <w:tab/>
      </w:r>
      <w:r w:rsidRPr="007B2964">
        <w:rPr>
          <w:bCs/>
          <w:i/>
          <w:sz w:val="18"/>
        </w:rPr>
        <w:t>Orario e luogo di ricevimento degli studenti</w:t>
      </w:r>
    </w:p>
    <w:p w14:paraId="4096A572" w14:textId="3C26F267" w:rsidR="001E3C02" w:rsidRDefault="001E3C02" w:rsidP="001E3C02">
      <w:pPr>
        <w:pStyle w:val="Testo2"/>
        <w:rPr>
          <w:rFonts w:eastAsia="Calibri"/>
        </w:rPr>
      </w:pPr>
      <w:r w:rsidRPr="00FB533D">
        <w:rPr>
          <w:rFonts w:eastAsia="Calibri"/>
        </w:rPr>
        <w:t xml:space="preserve">Il </w:t>
      </w:r>
      <w:r>
        <w:rPr>
          <w:rFonts w:eastAsia="Calibri"/>
        </w:rPr>
        <w:t>prof. L.F. Franceschi</w:t>
      </w:r>
      <w:r w:rsidRPr="00FB533D">
        <w:rPr>
          <w:rFonts w:eastAsia="Calibri"/>
        </w:rPr>
        <w:t xml:space="preserve"> riceve </w:t>
      </w:r>
      <w:r>
        <w:rPr>
          <w:rFonts w:eastAsia="Calibri"/>
        </w:rPr>
        <w:t>presso l’</w:t>
      </w:r>
      <w:r w:rsidRPr="00FB533D">
        <w:rPr>
          <w:rFonts w:eastAsia="Calibri"/>
        </w:rPr>
        <w:t>ufficio n. 203</w:t>
      </w:r>
      <w:r>
        <w:rPr>
          <w:rFonts w:eastAsia="Calibri"/>
        </w:rPr>
        <w:t xml:space="preserve"> </w:t>
      </w:r>
      <w:r w:rsidRPr="00FB533D">
        <w:rPr>
          <w:rFonts w:eastAsia="Calibri"/>
        </w:rPr>
        <w:t>in Via Necchi n. 9, II° piano</w:t>
      </w:r>
      <w:r>
        <w:rPr>
          <w:rFonts w:eastAsia="Calibri"/>
        </w:rPr>
        <w:t>,</w:t>
      </w:r>
      <w:r w:rsidRPr="00FB533D">
        <w:rPr>
          <w:rFonts w:eastAsia="Calibri"/>
        </w:rPr>
        <w:t xml:space="preserve"> </w:t>
      </w:r>
      <w:r>
        <w:rPr>
          <w:rFonts w:eastAsia="Calibri"/>
        </w:rPr>
        <w:t xml:space="preserve">il venerdì dalle ore 14.30 alle ore 16.00, </w:t>
      </w:r>
      <w:r w:rsidRPr="00FB533D">
        <w:rPr>
          <w:rFonts w:eastAsia="Calibri"/>
        </w:rPr>
        <w:t>previo appuntamento da concordarsi mediante posta elettronica.</w:t>
      </w:r>
      <w:r>
        <w:rPr>
          <w:rFonts w:eastAsia="Calibri"/>
        </w:rPr>
        <w:t xml:space="preserve"> Al riguardo si precisa che i</w:t>
      </w:r>
      <w:r w:rsidRPr="00FB533D">
        <w:rPr>
          <w:rFonts w:eastAsia="Calibri"/>
        </w:rPr>
        <w:t xml:space="preserve">l ricevimento </w:t>
      </w:r>
      <w:r>
        <w:rPr>
          <w:rFonts w:eastAsia="Calibri"/>
        </w:rPr>
        <w:t xml:space="preserve">può essere </w:t>
      </w:r>
      <w:r w:rsidRPr="00FB533D">
        <w:rPr>
          <w:rFonts w:eastAsia="Calibri"/>
        </w:rPr>
        <w:t>svolto,</w:t>
      </w:r>
      <w:r>
        <w:rPr>
          <w:rFonts w:eastAsia="Calibri"/>
        </w:rPr>
        <w:t xml:space="preserve"> </w:t>
      </w:r>
      <w:r w:rsidRPr="00FB533D">
        <w:rPr>
          <w:rFonts w:eastAsia="Calibri"/>
        </w:rPr>
        <w:t>previa intesa con il docente, da remoto, utilizzando strumenti di</w:t>
      </w:r>
      <w:r>
        <w:rPr>
          <w:rFonts w:eastAsia="Calibri"/>
        </w:rPr>
        <w:t xml:space="preserve"> </w:t>
      </w:r>
      <w:r w:rsidRPr="00FB533D">
        <w:rPr>
          <w:rFonts w:eastAsia="Calibri"/>
        </w:rPr>
        <w:t>collegamento che permettano la miglior interazione possibile tra docente e studente</w:t>
      </w:r>
      <w:r>
        <w:rPr>
          <w:rFonts w:eastAsia="Calibri"/>
        </w:rPr>
        <w:t>.</w:t>
      </w:r>
    </w:p>
    <w:p w14:paraId="3DFD1157" w14:textId="6C4A750F" w:rsidR="00D61127" w:rsidRPr="007B2964" w:rsidRDefault="00B4459D" w:rsidP="007B2964">
      <w:pPr>
        <w:pStyle w:val="Testo2"/>
        <w:rPr>
          <w:rFonts w:eastAsia="Calibri"/>
          <w:spacing w:val="-5"/>
        </w:rPr>
      </w:pPr>
      <w:r>
        <w:rPr>
          <w:rFonts w:eastAsia="Calibri"/>
        </w:rPr>
        <w:t xml:space="preserve">Il prof. E. Rossi riceve </w:t>
      </w:r>
      <w:r w:rsidR="00F6582F">
        <w:rPr>
          <w:rFonts w:eastAsia="Calibri"/>
        </w:rPr>
        <w:t xml:space="preserve">mediante collegamento </w:t>
      </w:r>
      <w:r w:rsidR="005E776E">
        <w:rPr>
          <w:rFonts w:eastAsia="Calibri"/>
        </w:rPr>
        <w:t>da remoto, utilizzando strumenti di collegamento che permettano la miglior interazione possibile tra docente e studente</w:t>
      </w:r>
      <w:r w:rsidR="00E74AA7">
        <w:rPr>
          <w:rFonts w:eastAsia="Calibri"/>
        </w:rPr>
        <w:t>,</w:t>
      </w:r>
      <w:r w:rsidR="005E776E">
        <w:rPr>
          <w:rFonts w:eastAsia="Calibri"/>
        </w:rPr>
        <w:t xml:space="preserve"> </w:t>
      </w:r>
      <w:r w:rsidR="00C26B99">
        <w:rPr>
          <w:rFonts w:eastAsia="Calibri"/>
        </w:rPr>
        <w:t>previo appuntamento da concordarsi median</w:t>
      </w:r>
      <w:r w:rsidR="00E74AA7">
        <w:rPr>
          <w:rFonts w:eastAsia="Calibri"/>
        </w:rPr>
        <w:t>t</w:t>
      </w:r>
      <w:r w:rsidR="00C26B99">
        <w:rPr>
          <w:rFonts w:eastAsia="Calibri"/>
        </w:rPr>
        <w:t>e posta elettronica</w:t>
      </w:r>
      <w:r w:rsidR="00E74AA7">
        <w:rPr>
          <w:rFonts w:eastAsia="Calibri"/>
        </w:rPr>
        <w:t>.</w:t>
      </w:r>
    </w:p>
    <w:sectPr w:rsidR="00D61127" w:rsidRPr="007B29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E621" w14:textId="77777777" w:rsidR="00BD7E58" w:rsidRDefault="00BD7E58" w:rsidP="00BD7E58">
      <w:pPr>
        <w:spacing w:line="240" w:lineRule="auto"/>
      </w:pPr>
      <w:r>
        <w:separator/>
      </w:r>
    </w:p>
  </w:endnote>
  <w:endnote w:type="continuationSeparator" w:id="0">
    <w:p w14:paraId="09669655" w14:textId="77777777" w:rsidR="00BD7E58" w:rsidRDefault="00BD7E58" w:rsidP="00BD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9B94" w14:textId="77777777" w:rsidR="00BD7E58" w:rsidRDefault="00BD7E58" w:rsidP="00BD7E58">
      <w:pPr>
        <w:spacing w:line="240" w:lineRule="auto"/>
      </w:pPr>
      <w:r>
        <w:separator/>
      </w:r>
    </w:p>
  </w:footnote>
  <w:footnote w:type="continuationSeparator" w:id="0">
    <w:p w14:paraId="3BA253ED" w14:textId="77777777" w:rsidR="00BD7E58" w:rsidRDefault="00BD7E58" w:rsidP="00BD7E58">
      <w:pPr>
        <w:spacing w:line="240" w:lineRule="auto"/>
      </w:pPr>
      <w:r>
        <w:continuationSeparator/>
      </w:r>
    </w:p>
  </w:footnote>
  <w:footnote w:id="1">
    <w:p w14:paraId="6E921155" w14:textId="16EDFAE8" w:rsidR="00BD7E58" w:rsidRDefault="00BD7E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E5"/>
    <w:rsid w:val="00026EA4"/>
    <w:rsid w:val="00037AB2"/>
    <w:rsid w:val="000B2A5F"/>
    <w:rsid w:val="00130C7A"/>
    <w:rsid w:val="00187B99"/>
    <w:rsid w:val="001E3C02"/>
    <w:rsid w:val="001F02A5"/>
    <w:rsid w:val="002014DD"/>
    <w:rsid w:val="002D5E17"/>
    <w:rsid w:val="003408E5"/>
    <w:rsid w:val="00377AA5"/>
    <w:rsid w:val="00456DA4"/>
    <w:rsid w:val="004901D0"/>
    <w:rsid w:val="004D1217"/>
    <w:rsid w:val="004D6008"/>
    <w:rsid w:val="005655D4"/>
    <w:rsid w:val="005E776E"/>
    <w:rsid w:val="005F296E"/>
    <w:rsid w:val="00640794"/>
    <w:rsid w:val="006F1772"/>
    <w:rsid w:val="00715258"/>
    <w:rsid w:val="007B2964"/>
    <w:rsid w:val="008665DA"/>
    <w:rsid w:val="008942E7"/>
    <w:rsid w:val="008A1204"/>
    <w:rsid w:val="008B3414"/>
    <w:rsid w:val="00900CCA"/>
    <w:rsid w:val="00907ECE"/>
    <w:rsid w:val="00924B77"/>
    <w:rsid w:val="00940DA2"/>
    <w:rsid w:val="00973A5C"/>
    <w:rsid w:val="009E055C"/>
    <w:rsid w:val="00A74F6F"/>
    <w:rsid w:val="00AB1A17"/>
    <w:rsid w:val="00AC0AA6"/>
    <w:rsid w:val="00AD7557"/>
    <w:rsid w:val="00B4459D"/>
    <w:rsid w:val="00B50C5D"/>
    <w:rsid w:val="00B51253"/>
    <w:rsid w:val="00B525CC"/>
    <w:rsid w:val="00B91693"/>
    <w:rsid w:val="00BC0547"/>
    <w:rsid w:val="00BD7E58"/>
    <w:rsid w:val="00C0337F"/>
    <w:rsid w:val="00C26B99"/>
    <w:rsid w:val="00C36DD3"/>
    <w:rsid w:val="00D404F2"/>
    <w:rsid w:val="00D5536C"/>
    <w:rsid w:val="00D61127"/>
    <w:rsid w:val="00DD27A2"/>
    <w:rsid w:val="00DE2A63"/>
    <w:rsid w:val="00E607E6"/>
    <w:rsid w:val="00E74AA7"/>
    <w:rsid w:val="00F6582F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9645"/>
  <w15:chartTrackingRefBased/>
  <w15:docId w15:val="{293432B9-C909-408E-AD0F-030E8C4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BD7E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7E58"/>
  </w:style>
  <w:style w:type="character" w:styleId="Rimandonotaapidipagina">
    <w:name w:val="footnote reference"/>
    <w:basedOn w:val="Carpredefinitoparagrafo"/>
    <w:rsid w:val="00BD7E58"/>
    <w:rPr>
      <w:vertAlign w:val="superscript"/>
    </w:rPr>
  </w:style>
  <w:style w:type="character" w:styleId="Collegamentoipertestuale">
    <w:name w:val="Hyperlink"/>
    <w:basedOn w:val="Carpredefinitoparagrafo"/>
    <w:rsid w:val="00BD7E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giussani/introduzione-ai-principi-contabili-internazionali-9788814222412-2537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bilancio-di-esercizio-e-principi-contabili-nazionali-9788834329948-25279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187C-9B8E-45D2-AE11-98920E77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778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2023-05-05T13:29:00Z</dcterms:created>
  <dcterms:modified xsi:type="dcterms:W3CDTF">2023-06-28T12:40:00Z</dcterms:modified>
</cp:coreProperties>
</file>