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C19CC" w14:textId="6DEAB7E7" w:rsidR="002D5E17" w:rsidRDefault="00ED7942" w:rsidP="002D5E17">
      <w:pPr>
        <w:pStyle w:val="Titolo1"/>
      </w:pPr>
      <w:r>
        <w:t>International business management</w:t>
      </w:r>
    </w:p>
    <w:p w14:paraId="2B6A751E" w14:textId="7B7A392E" w:rsidR="00ED7942" w:rsidRDefault="00ED7942" w:rsidP="00ED7942">
      <w:pPr>
        <w:pStyle w:val="Titolo2"/>
      </w:pPr>
      <w:r>
        <w:t>Prof. Ivo Pezzuto; Prof. Paolo Donati</w:t>
      </w:r>
    </w:p>
    <w:p w14:paraId="3AF6F024" w14:textId="77777777" w:rsidR="00ED7942" w:rsidRPr="00514034" w:rsidRDefault="00ED7942" w:rsidP="00ED794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A8A4926" w14:textId="77777777" w:rsidR="00ED7942" w:rsidRPr="00ED7942" w:rsidRDefault="00ED7942" w:rsidP="00ED7942">
      <w:pPr>
        <w:rPr>
          <w:szCs w:val="20"/>
          <w:lang w:val="en-US"/>
        </w:rPr>
      </w:pPr>
      <w:r w:rsidRPr="00ED7942">
        <w:rPr>
          <w:szCs w:val="20"/>
          <w:lang w:val="en-US"/>
        </w:rPr>
        <w:t xml:space="preserve">The course aims to give a broad and critical understanding of the international business environment within which firms operate. The course provides students with the critical skills and practical tools to better understand the major international management issues and opportunities facing the firms’ internationalization process. </w:t>
      </w:r>
    </w:p>
    <w:p w14:paraId="3610A638" w14:textId="77777777" w:rsidR="00ED7942" w:rsidRPr="00ED7942" w:rsidRDefault="00ED7942" w:rsidP="00ED7942">
      <w:pPr>
        <w:rPr>
          <w:szCs w:val="20"/>
          <w:lang w:val="en-US"/>
        </w:rPr>
      </w:pPr>
      <w:r w:rsidRPr="00ED7942">
        <w:rPr>
          <w:szCs w:val="20"/>
          <w:lang w:val="en-US"/>
        </w:rPr>
        <w:t xml:space="preserve">The course addresses the following main questions: (1) Why do firms expand abroad? (2) What do they bring abroad? (3) Where do firms go? (4) How do firms expand abroad? (5) Why are some companies successful in internationalising their business activities while others are not? (6) How do managers cope with the constraints and opportunities of managing the main firm functions they face when managing cross-border operations? </w:t>
      </w:r>
    </w:p>
    <w:p w14:paraId="2F74C633" w14:textId="77777777" w:rsidR="00ED7942" w:rsidRPr="00ED7942" w:rsidRDefault="00ED7942" w:rsidP="00ED7942">
      <w:pPr>
        <w:rPr>
          <w:szCs w:val="20"/>
          <w:lang w:val="en-US"/>
        </w:rPr>
      </w:pPr>
      <w:r w:rsidRPr="00ED7942">
        <w:rPr>
          <w:szCs w:val="20"/>
          <w:lang w:val="en-US"/>
        </w:rPr>
        <w:t>The above questions will be discussed by differentiating managing a small and medium-sized enterprise (SME) from managing a large multinational enterprise (MNE).</w:t>
      </w:r>
    </w:p>
    <w:p w14:paraId="2DE44C26" w14:textId="77777777" w:rsidR="00ED7942" w:rsidRPr="00ED7942" w:rsidRDefault="00ED7942" w:rsidP="00ED7942">
      <w:pPr>
        <w:spacing w:before="120"/>
        <w:rPr>
          <w:szCs w:val="20"/>
          <w:lang w:val="en-US"/>
        </w:rPr>
      </w:pPr>
      <w:r w:rsidRPr="00ED7942">
        <w:rPr>
          <w:szCs w:val="20"/>
          <w:lang w:val="en-US"/>
        </w:rPr>
        <w:t>At the end of the course, students will be able to:</w:t>
      </w:r>
    </w:p>
    <w:p w14:paraId="2A4A1B6F" w14:textId="77777777" w:rsidR="00ED7942" w:rsidRPr="00ED7942" w:rsidRDefault="00ED7942" w:rsidP="00ED7942">
      <w:pPr>
        <w:pStyle w:val="Corpotesto"/>
        <w:numPr>
          <w:ilvl w:val="0"/>
          <w:numId w:val="1"/>
        </w:numPr>
        <w:spacing w:line="240" w:lineRule="exact"/>
        <w:ind w:left="284" w:hanging="284"/>
        <w:rPr>
          <w:rFonts w:ascii="Times New Roman" w:hAnsi="Times New Roman" w:cs="Times New Roman"/>
          <w:sz w:val="20"/>
          <w:szCs w:val="20"/>
          <w:lang w:val="en-US"/>
        </w:rPr>
      </w:pPr>
      <w:r w:rsidRPr="00ED7942">
        <w:rPr>
          <w:rFonts w:ascii="Times New Roman" w:hAnsi="Times New Roman" w:cs="Times New Roman"/>
          <w:sz w:val="20"/>
          <w:szCs w:val="20"/>
          <w:lang w:val="en-US"/>
        </w:rPr>
        <w:t>identify and interpret the phenomenon of globalization, de-globalization, fragmentation, and multipolarity and their major drivers, and geopolitical and international trade and international management implications. Students will also address the emerging managerial and ethical challenges and opportunities underpinning the rapidly changing global business environment and the need to strike a balance international business expansion goal and ethical, sustainable, environmentally friendly (net zero targets) and inclusive goals (knowledge);</w:t>
      </w:r>
    </w:p>
    <w:p w14:paraId="780B2BB1" w14:textId="77777777" w:rsidR="00ED7942" w:rsidRPr="00ED7942" w:rsidRDefault="00ED7942" w:rsidP="00ED7942">
      <w:pPr>
        <w:pStyle w:val="Corpotesto"/>
        <w:numPr>
          <w:ilvl w:val="0"/>
          <w:numId w:val="1"/>
        </w:numPr>
        <w:spacing w:line="240" w:lineRule="exact"/>
        <w:ind w:left="284" w:hanging="284"/>
        <w:rPr>
          <w:rFonts w:ascii="Times New Roman" w:hAnsi="Times New Roman" w:cs="Times New Roman"/>
          <w:sz w:val="20"/>
          <w:szCs w:val="20"/>
          <w:lang w:val="en-US"/>
        </w:rPr>
      </w:pPr>
      <w:r w:rsidRPr="00ED7942">
        <w:rPr>
          <w:rFonts w:ascii="Times New Roman" w:hAnsi="Times New Roman" w:cs="Times New Roman"/>
          <w:sz w:val="20"/>
          <w:szCs w:val="20"/>
          <w:lang w:val="en-US"/>
        </w:rPr>
        <w:t>identify and interpret the theoretical and conceptual foundation regarding the fundamental managerial issues involved in doing business within an international environment (knowledge);</w:t>
      </w:r>
    </w:p>
    <w:p w14:paraId="5F98123F" w14:textId="77777777" w:rsidR="00ED7942" w:rsidRPr="00ED7942" w:rsidRDefault="00ED7942" w:rsidP="00ED7942">
      <w:pPr>
        <w:pStyle w:val="Corpotesto"/>
        <w:numPr>
          <w:ilvl w:val="0"/>
          <w:numId w:val="1"/>
        </w:numPr>
        <w:spacing w:line="240" w:lineRule="exact"/>
        <w:ind w:left="284" w:hanging="284"/>
        <w:rPr>
          <w:rFonts w:ascii="Times New Roman" w:hAnsi="Times New Roman" w:cs="Times New Roman"/>
          <w:sz w:val="20"/>
          <w:szCs w:val="20"/>
          <w:lang w:val="en-US"/>
        </w:rPr>
      </w:pPr>
      <w:r w:rsidRPr="00ED7942">
        <w:rPr>
          <w:rFonts w:ascii="Times New Roman" w:hAnsi="Times New Roman" w:cs="Times New Roman"/>
          <w:sz w:val="20"/>
          <w:szCs w:val="20"/>
          <w:lang w:val="en-US"/>
        </w:rPr>
        <w:t xml:space="preserve">analyze, interpret, discuss, and evaluate international business theories, models, business cases and empirical research data in order to transform them into relevant and actionable knowledge about the global business environment (intellectual skill); </w:t>
      </w:r>
    </w:p>
    <w:p w14:paraId="6800D8EB" w14:textId="77777777" w:rsidR="00ED7942" w:rsidRPr="00ED7942" w:rsidRDefault="00ED7942" w:rsidP="00ED7942">
      <w:pPr>
        <w:pStyle w:val="Corpotesto"/>
        <w:numPr>
          <w:ilvl w:val="0"/>
          <w:numId w:val="1"/>
        </w:numPr>
        <w:spacing w:line="240" w:lineRule="exact"/>
        <w:ind w:left="284" w:hanging="284"/>
        <w:rPr>
          <w:rFonts w:ascii="Times New Roman" w:hAnsi="Times New Roman" w:cs="Times New Roman"/>
          <w:sz w:val="20"/>
          <w:szCs w:val="20"/>
          <w:lang w:val="en-US"/>
        </w:rPr>
      </w:pPr>
      <w:r w:rsidRPr="00ED7942">
        <w:rPr>
          <w:rFonts w:ascii="Times New Roman" w:hAnsi="Times New Roman" w:cs="Times New Roman"/>
          <w:sz w:val="20"/>
          <w:szCs w:val="20"/>
          <w:lang w:val="en-US"/>
        </w:rPr>
        <w:t>critically recognize, assess, and review how international business models and theories can be applied for effective and responsible decision-making practices and problem-solving in complex global organizations (transferable skill);</w:t>
      </w:r>
    </w:p>
    <w:p w14:paraId="038EAE01" w14:textId="77777777" w:rsidR="00ED7942" w:rsidRPr="00ED7942" w:rsidRDefault="00ED7942" w:rsidP="00ED7942">
      <w:pPr>
        <w:pStyle w:val="Corpotesto"/>
        <w:numPr>
          <w:ilvl w:val="0"/>
          <w:numId w:val="1"/>
        </w:numPr>
        <w:spacing w:line="240" w:lineRule="exact"/>
        <w:ind w:left="284" w:hanging="284"/>
        <w:rPr>
          <w:rFonts w:ascii="Times New Roman" w:hAnsi="Times New Roman" w:cs="Times New Roman"/>
          <w:sz w:val="20"/>
          <w:szCs w:val="20"/>
          <w:lang w:val="en-US"/>
        </w:rPr>
      </w:pPr>
      <w:r w:rsidRPr="00ED7942">
        <w:rPr>
          <w:rFonts w:ascii="Times New Roman" w:hAnsi="Times New Roman" w:cs="Times New Roman"/>
          <w:sz w:val="20"/>
          <w:szCs w:val="20"/>
          <w:lang w:val="en-US"/>
        </w:rPr>
        <w:lastRenderedPageBreak/>
        <w:t>operate effectively within inclusive multicultural team involved in international business activities by different types of international organizations (transferable skill).</w:t>
      </w:r>
    </w:p>
    <w:p w14:paraId="524A9134" w14:textId="77777777" w:rsidR="00ED7942" w:rsidRPr="00514034" w:rsidRDefault="00ED7942" w:rsidP="00ED7942">
      <w:pPr>
        <w:spacing w:before="240" w:after="120"/>
        <w:rPr>
          <w:b/>
          <w:i/>
          <w:sz w:val="18"/>
          <w:lang w:val="en-US"/>
        </w:rPr>
      </w:pPr>
      <w:r w:rsidRPr="00514034">
        <w:rPr>
          <w:b/>
          <w:i/>
          <w:sz w:val="18"/>
          <w:lang w:val="en-US"/>
        </w:rPr>
        <w:t>COURSE CONTENT</w:t>
      </w:r>
    </w:p>
    <w:p w14:paraId="47ED3384" w14:textId="77777777" w:rsidR="00ED7942" w:rsidRPr="00DD0068" w:rsidRDefault="00ED7942" w:rsidP="00ED7942">
      <w:pPr>
        <w:spacing w:line="276" w:lineRule="auto"/>
        <w:rPr>
          <w:smallCaps/>
          <w:szCs w:val="20"/>
          <w:lang w:val="en-US"/>
        </w:rPr>
      </w:pPr>
      <w:r w:rsidRPr="00DD0068">
        <w:rPr>
          <w:smallCaps/>
          <w:szCs w:val="20"/>
          <w:lang w:val="en-US"/>
        </w:rPr>
        <w:t>Module 1</w:t>
      </w:r>
    </w:p>
    <w:p w14:paraId="71DE1A1A" w14:textId="77777777" w:rsidR="00ED7942" w:rsidRPr="00DD0068" w:rsidRDefault="00ED7942" w:rsidP="00ED7942">
      <w:pPr>
        <w:rPr>
          <w:szCs w:val="20"/>
          <w:lang w:val="en-US"/>
        </w:rPr>
      </w:pPr>
      <w:r w:rsidRPr="00DD0068">
        <w:rPr>
          <w:szCs w:val="20"/>
          <w:lang w:val="en-US"/>
        </w:rPr>
        <w:t>Globalization, de-globalization, fragmentation, and multipolar phenomena. The forces shaping globalization and de-globalization. Pro and cons of globalization and de-globalization. The changing world order. Global institutions and regional economic integration (WTO, IMF, The World Bank, UN, G20). Level of integration, free trade area, custom union, common market, economic union, political union. International trade and international trade theories and policies (i.e., mercantilism, absolute advantage and comparative advantage, Heckscher-Olin Theory, product life-cycle theory, national competitive advantage theory). Defining the business: Multinational enterprises (MNEs) vs SMEs and Born Globals (BGs). Foreign market entry mode: Exporting, importing, foreign direct investments, and M&amp;A. Internationalization process. Market/country selection process. Market attractiveness and competitive strength. Foreign exchange market. Cross-cultural management and ethical issues in IB.</w:t>
      </w:r>
    </w:p>
    <w:p w14:paraId="709C5EC3" w14:textId="77777777" w:rsidR="00ED7942" w:rsidRPr="00DD0068" w:rsidRDefault="00ED7942" w:rsidP="00ED7942">
      <w:pPr>
        <w:spacing w:before="120" w:line="276" w:lineRule="auto"/>
        <w:rPr>
          <w:smallCaps/>
          <w:szCs w:val="20"/>
          <w:lang w:val="en-US"/>
        </w:rPr>
      </w:pPr>
      <w:r w:rsidRPr="00DD0068">
        <w:rPr>
          <w:smallCaps/>
          <w:szCs w:val="20"/>
          <w:lang w:val="en-US"/>
        </w:rPr>
        <w:t>Module 2</w:t>
      </w:r>
    </w:p>
    <w:p w14:paraId="39EC60D7" w14:textId="77777777" w:rsidR="00ED7942" w:rsidRPr="00DD0068" w:rsidRDefault="00ED7942" w:rsidP="00ED7942">
      <w:pPr>
        <w:rPr>
          <w:szCs w:val="20"/>
          <w:lang w:val="en-US"/>
        </w:rPr>
      </w:pPr>
      <w:r w:rsidRPr="00DD0068">
        <w:rPr>
          <w:szCs w:val="20"/>
          <w:lang w:val="en-US"/>
        </w:rPr>
        <w:t xml:space="preserve">Managing international business and multinational firms: international marketing and international strategy (global standardization, international, transnational or “glocal”, and multidomestic or “localization” strategies).  Sustainable business models and sustainable value creation strategies as a source of competitive advantage. International growth strategies and models. Standardization versus adaptation in the international strategy. The International Structural Stages Model. How firms develop competitive advantages through internationalization: the value creation process for global competitiveness. International business strategy and sustainability. Socially responsible and inclusive growth strategies. Green Economy and Circular Economy strategies. Pursuing the triple bottom-line in international business (i.e., expands conventional business success metrics to include an organization's contributions to social well-being, environmental health, and a just economy). Developing international corporate sustainability strategies for pursuing expansionary goals and Net Zero targets. International business and management in the digital era (i.e., eCommerce, robots, automation, deep learning, machine learning, A.I., Generative A.I., Big Data, Virtual Reality and Augmented Reality, 3D printing, 5G networks, Cloud Computing, Edge Computing, IaaS, PaaS, SaaS, and AI-as-a-Service models, IoT, metaverse, blockchain, Web 3.0 economy). International firms and organizational architecture. Global human resources </w:t>
      </w:r>
      <w:r w:rsidRPr="00DD0068">
        <w:rPr>
          <w:szCs w:val="20"/>
          <w:lang w:val="en-US"/>
        </w:rPr>
        <w:lastRenderedPageBreak/>
        <w:t xml:space="preserve">management. Staffing policy in international firms. Ethical leadership. Global production, sustainable supply chains and decarbonization goals, global logistics, Outsourcing and logistics, just-in-time inventory, and make or buy decisions.  </w:t>
      </w:r>
    </w:p>
    <w:p w14:paraId="5D7083E2" w14:textId="1E87A620" w:rsidR="00ED7942" w:rsidRPr="00514034" w:rsidRDefault="00ED7942" w:rsidP="00ED7942">
      <w:pPr>
        <w:spacing w:before="240" w:after="120"/>
        <w:rPr>
          <w:b/>
          <w:i/>
          <w:sz w:val="18"/>
          <w:lang w:val="en-US"/>
        </w:rPr>
      </w:pPr>
      <w:r w:rsidRPr="00514034">
        <w:rPr>
          <w:b/>
          <w:i/>
          <w:sz w:val="18"/>
          <w:lang w:val="en-US"/>
        </w:rPr>
        <w:t>READING LIST</w:t>
      </w:r>
      <w:r w:rsidR="001958B2">
        <w:rPr>
          <w:rStyle w:val="Rimandonotaapidipagina"/>
          <w:b/>
          <w:i/>
          <w:sz w:val="18"/>
          <w:lang w:val="en-US"/>
        </w:rPr>
        <w:footnoteReference w:id="1"/>
      </w:r>
    </w:p>
    <w:p w14:paraId="2FF30DE7" w14:textId="77777777" w:rsidR="000D5BC2" w:rsidRPr="000D5BC2" w:rsidRDefault="000D5BC2" w:rsidP="000D5BC2">
      <w:pPr>
        <w:pStyle w:val="Testo1"/>
        <w:spacing w:before="0"/>
        <w:ind w:firstLine="0"/>
        <w:rPr>
          <w:i/>
          <w:iCs/>
          <w:lang w:val="en-US"/>
        </w:rPr>
      </w:pPr>
      <w:r w:rsidRPr="000D5BC2">
        <w:rPr>
          <w:i/>
          <w:iCs/>
          <w:lang w:val="en-US"/>
        </w:rPr>
        <w:t>Required readings</w:t>
      </w:r>
    </w:p>
    <w:p w14:paraId="1A691CFB" w14:textId="77777777" w:rsidR="000D5BC2" w:rsidRPr="005C4137" w:rsidRDefault="000D5BC2" w:rsidP="000D5BC2">
      <w:pPr>
        <w:pStyle w:val="Testo1"/>
        <w:spacing w:before="0"/>
        <w:rPr>
          <w:lang w:val="en-US"/>
        </w:rPr>
      </w:pPr>
      <w:r w:rsidRPr="005C4137">
        <w:rPr>
          <w:lang w:val="en-US"/>
        </w:rPr>
        <w:t xml:space="preserve">E-book version of: </w:t>
      </w:r>
      <w:r w:rsidRPr="000D5BC2">
        <w:rPr>
          <w:smallCaps/>
          <w:spacing w:val="-5"/>
          <w:sz w:val="16"/>
          <w:szCs w:val="16"/>
          <w:lang w:val="en-US"/>
        </w:rPr>
        <w:t>Hill, Hult (</w:t>
      </w:r>
      <w:r w:rsidRPr="005C4137">
        <w:rPr>
          <w:smallCaps/>
          <w:spacing w:val="-5"/>
          <w:lang w:val="en-US"/>
        </w:rPr>
        <w:t>2021).</w:t>
      </w:r>
      <w:r w:rsidRPr="005C4137">
        <w:rPr>
          <w:lang w:val="en-US"/>
        </w:rPr>
        <w:t xml:space="preserve"> </w:t>
      </w:r>
      <w:r w:rsidRPr="000D5BC2">
        <w:rPr>
          <w:i/>
          <w:iCs/>
          <w:lang w:val="en-US"/>
        </w:rPr>
        <w:t>International Business. Competing in the Business,</w:t>
      </w:r>
      <w:r w:rsidRPr="005C4137">
        <w:rPr>
          <w:lang w:val="en-US"/>
        </w:rPr>
        <w:t xml:space="preserve"> McGraw-Hill, 13</w:t>
      </w:r>
      <w:r w:rsidRPr="000D5BC2">
        <w:rPr>
          <w:vertAlign w:val="superscript"/>
          <w:lang w:val="en-US"/>
        </w:rPr>
        <w:t>th</w:t>
      </w:r>
      <w:r w:rsidRPr="005C4137">
        <w:rPr>
          <w:lang w:val="en-US"/>
        </w:rPr>
        <w:t xml:space="preserve"> edition.</w:t>
      </w:r>
    </w:p>
    <w:p w14:paraId="2D8BDC0F" w14:textId="77777777" w:rsidR="000D5BC2" w:rsidRDefault="000D5BC2" w:rsidP="000D5BC2">
      <w:pPr>
        <w:pStyle w:val="Testo1"/>
        <w:spacing w:before="0"/>
        <w:rPr>
          <w:lang w:val="en-US"/>
        </w:rPr>
      </w:pPr>
      <w:r>
        <w:rPr>
          <w:lang w:val="en-US"/>
        </w:rPr>
        <w:t>A</w:t>
      </w:r>
      <w:r w:rsidRPr="00197B63">
        <w:rPr>
          <w:lang w:val="en-US"/>
        </w:rPr>
        <w:t>dditional readings are detailed in the teaching materials published in Blackboard</w:t>
      </w:r>
      <w:r>
        <w:rPr>
          <w:lang w:val="en-US"/>
        </w:rPr>
        <w:t>.</w:t>
      </w:r>
      <w:r w:rsidRPr="005C4137">
        <w:rPr>
          <w:lang w:val="en-US"/>
        </w:rPr>
        <w:t xml:space="preserve"> Exams will cover the contents of the course pack (ebook, lectures slides and additional readings</w:t>
      </w:r>
      <w:r>
        <w:rPr>
          <w:lang w:val="en-US"/>
        </w:rPr>
        <w:t>/materials available on Blackboard</w:t>
      </w:r>
      <w:r w:rsidRPr="005C4137">
        <w:rPr>
          <w:lang w:val="en-US"/>
        </w:rPr>
        <w:t>) material.</w:t>
      </w:r>
    </w:p>
    <w:p w14:paraId="563511AA" w14:textId="77777777" w:rsidR="000D5BC2" w:rsidRPr="005C4137" w:rsidRDefault="000D5BC2" w:rsidP="000D5BC2">
      <w:pPr>
        <w:pStyle w:val="Testo1"/>
        <w:spacing w:before="0"/>
        <w:rPr>
          <w:lang w:val="en-US"/>
        </w:rPr>
      </w:pPr>
      <w:r w:rsidRPr="005C4137">
        <w:rPr>
          <w:u w:val="single"/>
          <w:lang w:val="en-US"/>
        </w:rPr>
        <w:t>Recommended journals</w:t>
      </w:r>
    </w:p>
    <w:p w14:paraId="4CF3914E" w14:textId="77777777" w:rsidR="000D5BC2" w:rsidRPr="005C4137" w:rsidRDefault="000D5BC2" w:rsidP="000D5BC2">
      <w:pPr>
        <w:pStyle w:val="Testo1"/>
        <w:spacing w:before="0"/>
        <w:rPr>
          <w:lang w:val="en-US"/>
        </w:rPr>
      </w:pPr>
      <w:r w:rsidRPr="005C4137">
        <w:rPr>
          <w:i/>
          <w:iCs/>
          <w:lang w:val="en-US"/>
        </w:rPr>
        <w:t>Journal focused on international business management</w:t>
      </w:r>
      <w:r w:rsidRPr="005C4137">
        <w:rPr>
          <w:lang w:val="en-US"/>
        </w:rPr>
        <w:t xml:space="preserve">: Journal of International Business Studies. Journal of World Business. International Business Review. Journal of International Marketing. International Marketing Review. Journal of International Management. Global Strategy Journal. Cross Cultural &amp; Strategic Management. International Journal of Emerging Markets. Thunderbird International Business Review. Management International Review. European Journal of International Management. </w:t>
      </w:r>
    </w:p>
    <w:p w14:paraId="371A426A" w14:textId="77777777" w:rsidR="000D5BC2" w:rsidRPr="005C4137" w:rsidRDefault="000D5BC2" w:rsidP="000D5BC2">
      <w:pPr>
        <w:pStyle w:val="Testo1"/>
        <w:spacing w:before="0"/>
        <w:rPr>
          <w:rFonts w:ascii="Times New Roman" w:hAnsi="Times New Roman"/>
          <w:lang w:val="en-US"/>
        </w:rPr>
      </w:pPr>
      <w:r w:rsidRPr="005C4137">
        <w:rPr>
          <w:rFonts w:ascii="Times New Roman" w:hAnsi="Times New Roman"/>
          <w:i/>
          <w:iCs/>
          <w:lang w:val="en-US"/>
        </w:rPr>
        <w:t>Other relevant journals</w:t>
      </w:r>
      <w:r w:rsidRPr="005C4137">
        <w:rPr>
          <w:rFonts w:ascii="Times New Roman" w:hAnsi="Times New Roman"/>
          <w:lang w:val="en-US"/>
        </w:rPr>
        <w:t xml:space="preserve">: </w:t>
      </w:r>
    </w:p>
    <w:p w14:paraId="0572B7A0" w14:textId="77777777" w:rsidR="000D5BC2" w:rsidRPr="005C4137" w:rsidRDefault="000D5BC2" w:rsidP="000D5BC2">
      <w:pPr>
        <w:pStyle w:val="Testo1"/>
        <w:spacing w:before="0"/>
        <w:rPr>
          <w:rFonts w:ascii="Times New Roman" w:hAnsi="Times New Roman"/>
          <w:lang w:val="en-US"/>
        </w:rPr>
      </w:pPr>
      <w:r w:rsidRPr="005C4137">
        <w:rPr>
          <w:rFonts w:ascii="Times New Roman" w:hAnsi="Times New Roman"/>
          <w:lang w:val="en-US"/>
        </w:rPr>
        <w:t xml:space="preserve">The International Journal of Human Resource Management. International Review of Financial Analysis. Research in International Business and Finance. Journal of International Financial Markets, Institutions and Money. Asia Pacific Journal of Management. Emerging Markets Finance and Trade. Emerging Markets Review. Academy of Management Review. Journal of Management. Journal of Management Studies. Strategic Management Journal. Journal of Business Ethics. Business Ethics Quarterly. Journal of Environmental Economics and Management. International Journal of Management Reviews. Supply Chain Management-an International Journal. Journal of Small Business Management.   </w:t>
      </w:r>
    </w:p>
    <w:p w14:paraId="1A0A2F8E" w14:textId="77777777" w:rsidR="00ED7942" w:rsidRPr="00514034" w:rsidRDefault="00ED7942" w:rsidP="00ED7942">
      <w:pPr>
        <w:spacing w:before="240" w:after="120" w:line="220" w:lineRule="exact"/>
        <w:rPr>
          <w:b/>
          <w:i/>
          <w:sz w:val="18"/>
          <w:lang w:val="en-US"/>
        </w:rPr>
      </w:pPr>
      <w:r w:rsidRPr="00514034">
        <w:rPr>
          <w:b/>
          <w:i/>
          <w:sz w:val="18"/>
          <w:lang w:val="en-US"/>
        </w:rPr>
        <w:t>TEACHING METHOD</w:t>
      </w:r>
    </w:p>
    <w:p w14:paraId="5009321C" w14:textId="77777777" w:rsidR="000D5BC2" w:rsidRPr="000D5BC2" w:rsidRDefault="000D5BC2" w:rsidP="000D5BC2">
      <w:pPr>
        <w:pStyle w:val="Testo2"/>
      </w:pPr>
      <w:r w:rsidRPr="000D5BC2">
        <w:t xml:space="preserve">Teaching methods will stimulate students’ participation and active interactions between students, lecturers and guest speakers. Case histories, business cases and examples on the field will be frequently discussed. During the course guest speaker sessions will be hosted with the specific aim of showing how the tools/frameworks introduced in the lessons work in real business-life contingencies. Precondition to achieve active participation is that students prepare in advance all materials required for the weekly lectures. </w:t>
      </w:r>
    </w:p>
    <w:p w14:paraId="0BB41275" w14:textId="77777777" w:rsidR="00ED7942" w:rsidRPr="00906645" w:rsidRDefault="00ED7942" w:rsidP="00ED7942">
      <w:pPr>
        <w:spacing w:before="240" w:after="120" w:line="220" w:lineRule="exact"/>
        <w:rPr>
          <w:b/>
          <w:i/>
          <w:sz w:val="18"/>
          <w:lang w:val="en-US"/>
        </w:rPr>
      </w:pPr>
      <w:r w:rsidRPr="00906645">
        <w:rPr>
          <w:b/>
          <w:i/>
          <w:sz w:val="18"/>
          <w:lang w:val="en-US"/>
        </w:rPr>
        <w:t>ASSESSMENT METHOD AND CRITERIA</w:t>
      </w:r>
    </w:p>
    <w:p w14:paraId="675C0F8E" w14:textId="77777777" w:rsidR="000D5BC2" w:rsidRPr="000D5BC2" w:rsidRDefault="000D5BC2" w:rsidP="000D5BC2">
      <w:pPr>
        <w:pStyle w:val="Testo2"/>
      </w:pPr>
      <w:r w:rsidRPr="000D5BC2">
        <w:lastRenderedPageBreak/>
        <w:t>Students can choose between a “multiple assessment route” and a “single assessment ruote.”</w:t>
      </w:r>
    </w:p>
    <w:p w14:paraId="5A6181A0" w14:textId="77777777" w:rsidR="000D5BC2" w:rsidRPr="000D5BC2" w:rsidRDefault="000D5BC2" w:rsidP="000D5BC2">
      <w:pPr>
        <w:pStyle w:val="Testo2"/>
        <w:rPr>
          <w:i/>
          <w:iCs/>
        </w:rPr>
      </w:pPr>
      <w:r w:rsidRPr="000D5BC2">
        <w:rPr>
          <w:i/>
          <w:iCs/>
        </w:rPr>
        <w:t>Multiple assessment route (Attending students)</w:t>
      </w:r>
    </w:p>
    <w:p w14:paraId="69B6C03F" w14:textId="77777777" w:rsidR="000D5BC2" w:rsidRPr="000D5BC2" w:rsidRDefault="000D5BC2" w:rsidP="000D5BC2">
      <w:pPr>
        <w:pStyle w:val="Testo2"/>
      </w:pPr>
      <w:r w:rsidRPr="000D5BC2">
        <w:t>Students are evaluated through: class participation (5%); a written final exam (1 hr), including 15 multiple choice questions (15% of the final grade; each question carries two points and no penalties will be applied for wrong answers) and 2 open-ended questions which may include both pure theoretical questions and practical examples regarding the implementation of international business theories (40% of the final grade - each question is equally graded); the group report (35% of the final grade); and a peer assessment regarding the individual contribution in the groupwork (5% of the final grade). Precondition to achieve active participation is that students prepare in advance all materials required for the weekly lectures (readings and cases). For a PASS in the multiple assessment route, both the final written exam and the group report must be a PASS. When a PASS is achieved in the group report, the final written exam can be taken in 5 exam dates (i.e., the grade achieved in the group report will be kept for the 5 scheduled exam dates). A minimum attendance of 75% is mandatory for a final PASS in the multiple assessment route.</w:t>
      </w:r>
    </w:p>
    <w:p w14:paraId="316491CA" w14:textId="77777777" w:rsidR="000D5BC2" w:rsidRPr="000D5BC2" w:rsidRDefault="000D5BC2" w:rsidP="000D5BC2">
      <w:pPr>
        <w:pStyle w:val="Testo2"/>
        <w:rPr>
          <w:i/>
          <w:iCs/>
        </w:rPr>
      </w:pPr>
      <w:r w:rsidRPr="000D5BC2">
        <w:rPr>
          <w:i/>
          <w:iCs/>
        </w:rPr>
        <w:t>Single assessment route (Not attending students)</w:t>
      </w:r>
    </w:p>
    <w:p w14:paraId="7A39C89F" w14:textId="77777777" w:rsidR="000D5BC2" w:rsidRPr="000D5BC2" w:rsidRDefault="000D5BC2" w:rsidP="000D5BC2">
      <w:pPr>
        <w:pStyle w:val="Testo2"/>
      </w:pPr>
      <w:r w:rsidRPr="000D5BC2">
        <w:t xml:space="preserve">Students are evaluated through: a written final exam (1 hr), including 15 multiple choice questions (15% of the final grade; each question carries two points and no penalties will be applied for wrong answers) and 2 open-ended questions which include both pure theoretical questions and practical examples regarding the implementation of international business theories (40% of the final grade - each question is equally graded); an individual report (45% of the final grade). The written exam is scheduled in 5 exam dates throughout the a.y. For a PASS in the single assessment route, both the written exam and the individual report must be a PASS.  Even though attendance is not mandatory for a PASS in the single assessment route, it is strongly recommended. </w:t>
      </w:r>
    </w:p>
    <w:p w14:paraId="418C76B9" w14:textId="77777777" w:rsidR="000D5BC2" w:rsidRPr="000D5BC2" w:rsidRDefault="000D5BC2" w:rsidP="000D5BC2">
      <w:pPr>
        <w:pStyle w:val="Testo2"/>
        <w:rPr>
          <w:i/>
          <w:iCs/>
        </w:rPr>
      </w:pPr>
      <w:r w:rsidRPr="000D5BC2">
        <w:rPr>
          <w:i/>
          <w:iCs/>
        </w:rPr>
        <w:t>Assessment method – further information regarding the group report (multiple assessment route)</w:t>
      </w:r>
    </w:p>
    <w:p w14:paraId="44B36A4D" w14:textId="77777777" w:rsidR="000D5BC2" w:rsidRPr="000D5BC2" w:rsidRDefault="000D5BC2" w:rsidP="000D5BC2">
      <w:pPr>
        <w:pStyle w:val="Testo2"/>
      </w:pPr>
      <w:r w:rsidRPr="000D5BC2">
        <w:t xml:space="preserve">Groups (4/5 students) will be formed during class by students themselves. Groups have to be heterogeneous in terms of gender, nationalities, status (i.e. erasmus vs local student), skills (e.g. working experience, skills, etc). Students have to produce a group report that should be around 5,000 words including the executive summary, but excluding tables, references and appendices. Further details regarding the output of the assignment will be given during the course and made available on Blackboard. </w:t>
      </w:r>
    </w:p>
    <w:p w14:paraId="1060F124" w14:textId="77777777" w:rsidR="000D5BC2" w:rsidRPr="000D5BC2" w:rsidRDefault="000D5BC2" w:rsidP="000D5BC2">
      <w:pPr>
        <w:pStyle w:val="Testo2"/>
      </w:pPr>
      <w:r w:rsidRPr="000D5BC2">
        <w:t xml:space="preserve">In addition to the group report, each student is required to submit one individual diary (paper and/or electronic copy) on the same day of the group report. The individual diary made of list of meetings detailing how the work was organized and distributed amongst members (one per student). On the course page, students find a template for the individual diary where to give an individual assessment of the contribution given by each individual student to the group work. Each student has to upload his/her individual diary in Blackboard under “Valutazioni/Evaluation” on the same day of the report. The individual diary represents the input for a peer assessment of the contribution given by each individual student to the group work. Students who, without reasonable cause (e.g. continuous or recurrent ill-health, as evidenced by medical certificates), do not fully participate in the group work, or prevent others </w:t>
      </w:r>
      <w:r w:rsidRPr="000D5BC2">
        <w:lastRenderedPageBreak/>
        <w:t>from doing so, will be penalized and may fail the course. We reserve the right to give students who do not participate in the project a zero grade. We reserve the right to remove disruptive students from a team and to substitute an individual project for them.</w:t>
      </w:r>
    </w:p>
    <w:p w14:paraId="5C43B649" w14:textId="77777777" w:rsidR="000D5BC2" w:rsidRPr="000D5BC2" w:rsidRDefault="000D5BC2" w:rsidP="000D5BC2">
      <w:pPr>
        <w:pStyle w:val="Testo2"/>
        <w:rPr>
          <w:i/>
          <w:iCs/>
        </w:rPr>
      </w:pPr>
      <w:r w:rsidRPr="000D5BC2">
        <w:rPr>
          <w:i/>
          <w:iCs/>
        </w:rPr>
        <w:t>Assessment method – further information regarding the individual report (single assessment route)</w:t>
      </w:r>
    </w:p>
    <w:p w14:paraId="2CB4E79C" w14:textId="77777777" w:rsidR="000D5BC2" w:rsidRPr="000D5BC2" w:rsidRDefault="000D5BC2" w:rsidP="000D5BC2">
      <w:pPr>
        <w:pStyle w:val="Testo2"/>
      </w:pPr>
      <w:r w:rsidRPr="000D5BC2">
        <w:t xml:space="preserve">The report should be around 4,000 words including the executive summary, but excluding tables, references and appendices. Further details regarding the output of the assignment will be given during the course and made available on Blackboard. </w:t>
      </w:r>
    </w:p>
    <w:p w14:paraId="33262463" w14:textId="77777777" w:rsidR="000D5BC2" w:rsidRPr="000D5BC2" w:rsidRDefault="000D5BC2" w:rsidP="000D5BC2">
      <w:pPr>
        <w:pStyle w:val="Testo2"/>
      </w:pPr>
      <w:r w:rsidRPr="000D5BC2">
        <w:t xml:space="preserve">The submission of the report is the same as for attending students. For  other exams sections from January onwards, the submission is two weeks before the exam. </w:t>
      </w:r>
    </w:p>
    <w:p w14:paraId="3E16835F" w14:textId="77777777" w:rsidR="000D5BC2" w:rsidRPr="000D5BC2" w:rsidRDefault="000D5BC2" w:rsidP="000D5BC2">
      <w:pPr>
        <w:pStyle w:val="Testo2"/>
      </w:pPr>
      <w:bookmarkStart w:id="0" w:name="_Hlk73117893"/>
      <w:r w:rsidRPr="000D5BC2">
        <w:t>Assessment criteria</w:t>
      </w:r>
    </w:p>
    <w:bookmarkEnd w:id="0"/>
    <w:p w14:paraId="00BA9C1F" w14:textId="77777777" w:rsidR="000D5BC2" w:rsidRPr="000D5BC2" w:rsidRDefault="000D5BC2" w:rsidP="000D5BC2">
      <w:pPr>
        <w:pStyle w:val="Testo2"/>
      </w:pPr>
      <w:r w:rsidRPr="000D5BC2">
        <w:t>The student's preparation is evaluated according to the following grading scale:</w:t>
      </w:r>
    </w:p>
    <w:p w14:paraId="1204051D" w14:textId="77777777" w:rsidR="000D5BC2" w:rsidRPr="005C4137" w:rsidRDefault="000D5BC2" w:rsidP="000D5BC2">
      <w:pPr>
        <w:pStyle w:val="Testo2"/>
        <w:rPr>
          <w:rFonts w:ascii="Times New Roman" w:hAnsi="Times New Roman"/>
          <w:sz w:val="22"/>
          <w:szCs w:val="22"/>
          <w:lang w:val="en-US"/>
        </w:rPr>
      </w:pPr>
    </w:p>
    <w:tbl>
      <w:tblPr>
        <w:tblW w:w="5000" w:type="pct"/>
        <w:tblCellMar>
          <w:left w:w="0" w:type="dxa"/>
          <w:right w:w="0" w:type="dxa"/>
        </w:tblCellMar>
        <w:tblLook w:val="0600" w:firstRow="0" w:lastRow="0" w:firstColumn="0" w:lastColumn="0" w:noHBand="1" w:noVBand="1"/>
      </w:tblPr>
      <w:tblGrid>
        <w:gridCol w:w="513"/>
        <w:gridCol w:w="1310"/>
        <w:gridCol w:w="2286"/>
        <w:gridCol w:w="2561"/>
      </w:tblGrid>
      <w:tr w:rsidR="000D5BC2" w:rsidRPr="005C4137" w14:paraId="212354B1" w14:textId="77777777" w:rsidTr="002C2BE2">
        <w:trPr>
          <w:trHeight w:val="208"/>
        </w:trPr>
        <w:tc>
          <w:tcPr>
            <w:tcW w:w="384"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F44F7B0" w14:textId="282B3EBA" w:rsidR="000D5BC2" w:rsidRPr="000D5BC2" w:rsidRDefault="000D5BC2" w:rsidP="002C2BE2">
            <w:pPr>
              <w:pStyle w:val="Testo2"/>
              <w:ind w:firstLine="0"/>
              <w:jc w:val="left"/>
              <w:rPr>
                <w:rFonts w:ascii="Times New Roman" w:hAnsi="Times New Roman"/>
                <w:szCs w:val="18"/>
              </w:rPr>
            </w:pPr>
            <w:r>
              <w:rPr>
                <w:rFonts w:ascii="Times New Roman" w:hAnsi="Times New Roman"/>
                <w:b/>
                <w:bCs/>
                <w:szCs w:val="18"/>
              </w:rPr>
              <w:t>G</w:t>
            </w:r>
            <w:r w:rsidRPr="000D5BC2">
              <w:rPr>
                <w:rFonts w:ascii="Times New Roman" w:hAnsi="Times New Roman"/>
                <w:b/>
                <w:bCs/>
                <w:szCs w:val="18"/>
              </w:rPr>
              <w:t>rade</w:t>
            </w:r>
          </w:p>
        </w:tc>
        <w:tc>
          <w:tcPr>
            <w:tcW w:w="982"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3DEEB39" w14:textId="77777777" w:rsidR="000D5BC2" w:rsidRPr="000D5BC2" w:rsidRDefault="000D5BC2" w:rsidP="002C2BE2">
            <w:pPr>
              <w:pStyle w:val="Testo2"/>
              <w:ind w:firstLine="0"/>
              <w:jc w:val="left"/>
              <w:rPr>
                <w:rFonts w:ascii="Times New Roman" w:hAnsi="Times New Roman"/>
                <w:szCs w:val="18"/>
              </w:rPr>
            </w:pPr>
            <w:r w:rsidRPr="000D5BC2">
              <w:rPr>
                <w:rFonts w:ascii="Times New Roman" w:hAnsi="Times New Roman"/>
                <w:b/>
                <w:bCs/>
                <w:szCs w:val="18"/>
              </w:rPr>
              <w:t>Commmon description</w:t>
            </w:r>
          </w:p>
        </w:tc>
        <w:tc>
          <w:tcPr>
            <w:tcW w:w="1714"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9F2C86B"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b/>
                <w:bCs/>
                <w:szCs w:val="18"/>
                <w:lang w:val="en-US"/>
              </w:rPr>
              <w:t>Open questions</w:t>
            </w:r>
          </w:p>
        </w:tc>
        <w:tc>
          <w:tcPr>
            <w:tcW w:w="1920"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1FF7B20"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b/>
                <w:bCs/>
                <w:szCs w:val="18"/>
                <w:lang w:val="en-US"/>
              </w:rPr>
              <w:t>Group report, Individual report</w:t>
            </w:r>
          </w:p>
        </w:tc>
      </w:tr>
      <w:tr w:rsidR="000D5BC2" w:rsidRPr="00790767" w14:paraId="2D085A4D" w14:textId="77777777" w:rsidTr="002C2BE2">
        <w:trPr>
          <w:trHeight w:val="1427"/>
        </w:trPr>
        <w:tc>
          <w:tcPr>
            <w:tcW w:w="384"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374CA83" w14:textId="77777777" w:rsidR="000D5BC2" w:rsidRPr="000D5BC2" w:rsidRDefault="000D5BC2" w:rsidP="002C2BE2">
            <w:pPr>
              <w:pStyle w:val="Testo2"/>
              <w:ind w:firstLine="0"/>
              <w:jc w:val="left"/>
              <w:rPr>
                <w:rFonts w:ascii="Times New Roman" w:hAnsi="Times New Roman"/>
                <w:szCs w:val="18"/>
              </w:rPr>
            </w:pPr>
            <w:r w:rsidRPr="000D5BC2">
              <w:rPr>
                <w:rFonts w:ascii="Times New Roman" w:hAnsi="Times New Roman"/>
                <w:b/>
                <w:bCs/>
                <w:szCs w:val="18"/>
              </w:rPr>
              <w:t>30 - 30 cum laude</w:t>
            </w:r>
          </w:p>
        </w:tc>
        <w:tc>
          <w:tcPr>
            <w:tcW w:w="982"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289F6FC"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Excellent quality showing a full achievement of learning outcomes beyond normal expectations.</w:t>
            </w:r>
          </w:p>
        </w:tc>
        <w:tc>
          <w:tcPr>
            <w:tcW w:w="1714"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1D4CA88"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Excellent breadth and depth of knowledge of subject matter</w:t>
            </w:r>
          </w:p>
          <w:p w14:paraId="6B6AAAF4"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Full understanding of questions</w:t>
            </w:r>
          </w:p>
          <w:p w14:paraId="762D53E4"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Original and very well formulated arguments, strongly connecting different knowledge objects</w:t>
            </w:r>
          </w:p>
        </w:tc>
        <w:tc>
          <w:tcPr>
            <w:tcW w:w="1920"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43F83868"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Full understanding of multi-cultural business contexts</w:t>
            </w:r>
          </w:p>
          <w:p w14:paraId="2498BAE2"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Strong and fully rigourous use of evidence</w:t>
            </w:r>
          </w:p>
          <w:p w14:paraId="1246466C"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Excellent efficacy of applied analysis, with many original and critical arguments</w:t>
            </w:r>
          </w:p>
        </w:tc>
      </w:tr>
      <w:tr w:rsidR="000D5BC2" w:rsidRPr="00790767" w14:paraId="7D987448" w14:textId="77777777" w:rsidTr="002C2BE2">
        <w:trPr>
          <w:trHeight w:val="1205"/>
        </w:trPr>
        <w:tc>
          <w:tcPr>
            <w:tcW w:w="384"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47D173D" w14:textId="77777777" w:rsidR="000D5BC2" w:rsidRPr="000D5BC2" w:rsidRDefault="000D5BC2" w:rsidP="002C2BE2">
            <w:pPr>
              <w:pStyle w:val="Testo2"/>
              <w:ind w:firstLine="0"/>
              <w:jc w:val="left"/>
              <w:rPr>
                <w:rFonts w:ascii="Times New Roman" w:hAnsi="Times New Roman"/>
                <w:szCs w:val="18"/>
              </w:rPr>
            </w:pPr>
            <w:r w:rsidRPr="000D5BC2">
              <w:rPr>
                <w:rFonts w:ascii="Times New Roman" w:hAnsi="Times New Roman"/>
                <w:b/>
                <w:bCs/>
                <w:szCs w:val="18"/>
              </w:rPr>
              <w:t>27-29</w:t>
            </w:r>
          </w:p>
        </w:tc>
        <w:tc>
          <w:tcPr>
            <w:tcW w:w="982"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DF13BC7"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Very good quality showing that learning outcomes are surpassed</w:t>
            </w:r>
          </w:p>
        </w:tc>
        <w:tc>
          <w:tcPr>
            <w:tcW w:w="1714"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A8F191B"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Good breadth and depth of knowledge of subject matter</w:t>
            </w:r>
          </w:p>
          <w:p w14:paraId="0EC31C85"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Very good understanding of questions</w:t>
            </w:r>
          </w:p>
          <w:p w14:paraId="6E29C985"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Clearly developed arguments, with some original arguments and connections between knowledge objects</w:t>
            </w:r>
          </w:p>
        </w:tc>
        <w:tc>
          <w:tcPr>
            <w:tcW w:w="1920"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424DDCA"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Very good understanding of multi-cultural business contexts</w:t>
            </w:r>
          </w:p>
          <w:p w14:paraId="255D6C92"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Very good use of evidence</w:t>
            </w:r>
          </w:p>
          <w:p w14:paraId="0C1ADCE2"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Very good efficacy of applied analysis, with some original and critical arguments</w:t>
            </w:r>
          </w:p>
        </w:tc>
      </w:tr>
      <w:tr w:rsidR="000D5BC2" w:rsidRPr="00790767" w14:paraId="0BA9CB29" w14:textId="77777777" w:rsidTr="002C2BE2">
        <w:trPr>
          <w:trHeight w:val="1544"/>
        </w:trPr>
        <w:tc>
          <w:tcPr>
            <w:tcW w:w="384"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CB1F879" w14:textId="77777777" w:rsidR="000D5BC2" w:rsidRPr="000D5BC2" w:rsidRDefault="000D5BC2" w:rsidP="002C2BE2">
            <w:pPr>
              <w:pStyle w:val="Testo2"/>
              <w:ind w:firstLine="0"/>
              <w:jc w:val="left"/>
              <w:rPr>
                <w:rFonts w:ascii="Times New Roman" w:hAnsi="Times New Roman"/>
                <w:szCs w:val="18"/>
              </w:rPr>
            </w:pPr>
            <w:r w:rsidRPr="000D5BC2">
              <w:rPr>
                <w:rFonts w:ascii="Times New Roman" w:hAnsi="Times New Roman"/>
                <w:b/>
                <w:bCs/>
                <w:szCs w:val="18"/>
              </w:rPr>
              <w:t>24-26</w:t>
            </w:r>
          </w:p>
        </w:tc>
        <w:tc>
          <w:tcPr>
            <w:tcW w:w="982"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2961FC9"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Good quality showing that learning outcomes are achieved and to some extent surpassed</w:t>
            </w:r>
          </w:p>
        </w:tc>
        <w:tc>
          <w:tcPr>
            <w:tcW w:w="1714"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444E3617"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Adequate breadth of knowledge of subject matter</w:t>
            </w:r>
          </w:p>
          <w:p w14:paraId="077DE28E"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Quite complete understanding of questions</w:t>
            </w:r>
          </w:p>
          <w:p w14:paraId="03691F08"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Clearly developed arguments, with few original arguments</w:t>
            </w:r>
          </w:p>
        </w:tc>
        <w:tc>
          <w:tcPr>
            <w:tcW w:w="1920"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2D82748"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Quite complete understanding of multi-cultural business contexts</w:t>
            </w:r>
          </w:p>
          <w:p w14:paraId="6967E9E4"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Adequate use of evidence</w:t>
            </w:r>
          </w:p>
          <w:p w14:paraId="5284D008"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Adequate efficacy of applied analysis</w:t>
            </w:r>
          </w:p>
          <w:p w14:paraId="4C2D9494"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Originality and critical thinking are present, but limited</w:t>
            </w:r>
          </w:p>
        </w:tc>
      </w:tr>
      <w:tr w:rsidR="000D5BC2" w:rsidRPr="00790767" w14:paraId="50ACFC82" w14:textId="77777777" w:rsidTr="002C2BE2">
        <w:trPr>
          <w:trHeight w:val="1171"/>
        </w:trPr>
        <w:tc>
          <w:tcPr>
            <w:tcW w:w="384"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0BE38BC3" w14:textId="77777777" w:rsidR="000D5BC2" w:rsidRPr="000D5BC2" w:rsidRDefault="000D5BC2" w:rsidP="002C2BE2">
            <w:pPr>
              <w:pStyle w:val="Testo2"/>
              <w:ind w:firstLine="0"/>
              <w:jc w:val="left"/>
              <w:rPr>
                <w:rFonts w:ascii="Times New Roman" w:hAnsi="Times New Roman"/>
                <w:szCs w:val="18"/>
              </w:rPr>
            </w:pPr>
            <w:r w:rsidRPr="000D5BC2">
              <w:rPr>
                <w:rFonts w:ascii="Times New Roman" w:hAnsi="Times New Roman"/>
                <w:b/>
                <w:bCs/>
                <w:szCs w:val="18"/>
              </w:rPr>
              <w:t>21-23</w:t>
            </w:r>
          </w:p>
        </w:tc>
        <w:tc>
          <w:tcPr>
            <w:tcW w:w="982"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3755D3B"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 xml:space="preserve">Basic quality with clear evidence that learning </w:t>
            </w:r>
            <w:r w:rsidRPr="000D5BC2">
              <w:rPr>
                <w:rFonts w:ascii="Times New Roman" w:hAnsi="Times New Roman"/>
                <w:szCs w:val="18"/>
                <w:lang w:val="en-US"/>
              </w:rPr>
              <w:lastRenderedPageBreak/>
              <w:t>outcomes are achieved</w:t>
            </w:r>
          </w:p>
        </w:tc>
        <w:tc>
          <w:tcPr>
            <w:tcW w:w="1714"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8866C69"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lastRenderedPageBreak/>
              <w:t>Basic breadth of knowledge of subject matter</w:t>
            </w:r>
          </w:p>
          <w:p w14:paraId="17F9D908"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Basic understanding of questions with some inadequacies</w:t>
            </w:r>
          </w:p>
          <w:p w14:paraId="6707B60F"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lastRenderedPageBreak/>
              <w:t>Developed arguments, without original arguments</w:t>
            </w:r>
          </w:p>
        </w:tc>
        <w:tc>
          <w:tcPr>
            <w:tcW w:w="1920"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DE05975"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lastRenderedPageBreak/>
              <w:t>Basic  understanding of multi-cultural business contexts</w:t>
            </w:r>
          </w:p>
          <w:p w14:paraId="12D4A896"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Basic use of evidence with some inadequacies</w:t>
            </w:r>
          </w:p>
          <w:p w14:paraId="0354361F"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lastRenderedPageBreak/>
              <w:t>Basic applied analysis with some inadequacies and without original and critical argumentations</w:t>
            </w:r>
          </w:p>
        </w:tc>
      </w:tr>
      <w:tr w:rsidR="000D5BC2" w:rsidRPr="00790767" w14:paraId="42278EF7" w14:textId="77777777" w:rsidTr="002C2BE2">
        <w:trPr>
          <w:trHeight w:val="1358"/>
        </w:trPr>
        <w:tc>
          <w:tcPr>
            <w:tcW w:w="384"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75FD861" w14:textId="77777777" w:rsidR="000D5BC2" w:rsidRPr="000D5BC2" w:rsidRDefault="000D5BC2" w:rsidP="002C2BE2">
            <w:pPr>
              <w:pStyle w:val="Testo2"/>
              <w:ind w:firstLine="0"/>
              <w:jc w:val="left"/>
              <w:rPr>
                <w:rFonts w:ascii="Times New Roman" w:hAnsi="Times New Roman"/>
                <w:szCs w:val="18"/>
              </w:rPr>
            </w:pPr>
            <w:r w:rsidRPr="000D5BC2">
              <w:rPr>
                <w:rFonts w:ascii="Times New Roman" w:hAnsi="Times New Roman"/>
                <w:b/>
                <w:bCs/>
                <w:szCs w:val="18"/>
              </w:rPr>
              <w:lastRenderedPageBreak/>
              <w:t>18-20</w:t>
            </w:r>
          </w:p>
        </w:tc>
        <w:tc>
          <w:tcPr>
            <w:tcW w:w="982"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2FCC0DA"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Sufficient quality showing that learning outcomes are being achieved</w:t>
            </w:r>
          </w:p>
        </w:tc>
        <w:tc>
          <w:tcPr>
            <w:tcW w:w="1714"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457F4D34"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Sufficient knowledge of subject matter, even though breadth and depth of knowledge are lacking</w:t>
            </w:r>
          </w:p>
          <w:p w14:paraId="3FC18DD8"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Partial understanding of questions</w:t>
            </w:r>
          </w:p>
          <w:p w14:paraId="7F6B7C05"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Argumentation is present, but limited</w:t>
            </w:r>
          </w:p>
        </w:tc>
        <w:tc>
          <w:tcPr>
            <w:tcW w:w="1920"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981C2E0"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Partial understanding of multi-cultural business contexts</w:t>
            </w:r>
          </w:p>
          <w:p w14:paraId="621DFD57"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Partial use of evidence</w:t>
            </w:r>
          </w:p>
          <w:p w14:paraId="338CD703"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Applied analysis is framed, but limited</w:t>
            </w:r>
          </w:p>
          <w:p w14:paraId="3D2150DA"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Argumentation is present, but limited</w:t>
            </w:r>
          </w:p>
        </w:tc>
      </w:tr>
      <w:tr w:rsidR="000D5BC2" w:rsidRPr="00790767" w14:paraId="30523C73" w14:textId="77777777" w:rsidTr="002C2BE2">
        <w:trPr>
          <w:trHeight w:val="1033"/>
        </w:trPr>
        <w:tc>
          <w:tcPr>
            <w:tcW w:w="384"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02A4766C" w14:textId="77777777" w:rsidR="000D5BC2" w:rsidRPr="000D5BC2" w:rsidRDefault="000D5BC2" w:rsidP="002C2BE2">
            <w:pPr>
              <w:pStyle w:val="Testo2"/>
              <w:ind w:firstLine="0"/>
              <w:jc w:val="left"/>
              <w:rPr>
                <w:rFonts w:ascii="Times New Roman" w:hAnsi="Times New Roman"/>
                <w:szCs w:val="18"/>
              </w:rPr>
            </w:pPr>
            <w:r w:rsidRPr="000D5BC2">
              <w:rPr>
                <w:rFonts w:ascii="Times New Roman" w:hAnsi="Times New Roman"/>
                <w:b/>
                <w:bCs/>
                <w:szCs w:val="18"/>
              </w:rPr>
              <w:t xml:space="preserve">0-17 </w:t>
            </w:r>
          </w:p>
        </w:tc>
        <w:tc>
          <w:tcPr>
            <w:tcW w:w="982"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A5FB4CB"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Unsatisfactory quality showing that learning outcomes are not achieved</w:t>
            </w:r>
          </w:p>
        </w:tc>
        <w:tc>
          <w:tcPr>
            <w:tcW w:w="1714"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44A7CC5B"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Absent or poor knowledge of subject matter</w:t>
            </w:r>
          </w:p>
          <w:p w14:paraId="74578C28"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Absent understanding of questions</w:t>
            </w:r>
          </w:p>
          <w:p w14:paraId="5DA8D736"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Argumentation is absent</w:t>
            </w:r>
          </w:p>
        </w:tc>
        <w:tc>
          <w:tcPr>
            <w:tcW w:w="1920"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155160C"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Absent or poor understanding of multi-cultural business contexts</w:t>
            </w:r>
          </w:p>
          <w:p w14:paraId="283BA5A0"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Absent or wrong use of evidence</w:t>
            </w:r>
          </w:p>
          <w:p w14:paraId="134DA7BF"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Absent or wrong applied analysis</w:t>
            </w:r>
          </w:p>
          <w:p w14:paraId="2528FBD7"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Argumentation is absent</w:t>
            </w:r>
          </w:p>
        </w:tc>
      </w:tr>
    </w:tbl>
    <w:p w14:paraId="5DE5DD58" w14:textId="77777777" w:rsidR="000D5BC2" w:rsidRDefault="000D5BC2" w:rsidP="000D5BC2">
      <w:pPr>
        <w:pStyle w:val="Testo2"/>
        <w:rPr>
          <w:rFonts w:ascii="Times New Roman" w:hAnsi="Times New Roman"/>
          <w:sz w:val="22"/>
          <w:szCs w:val="22"/>
          <w:lang w:val="en-US"/>
        </w:rPr>
      </w:pPr>
    </w:p>
    <w:p w14:paraId="56696371" w14:textId="77777777" w:rsidR="000D5BC2" w:rsidRPr="000D5BC2" w:rsidRDefault="000D5BC2" w:rsidP="000D5BC2">
      <w:pPr>
        <w:pStyle w:val="Testo2"/>
      </w:pPr>
      <w:r w:rsidRPr="000D5BC2">
        <w:t>The student's class participation is evaluated according to the following grading scale:</w:t>
      </w:r>
    </w:p>
    <w:tbl>
      <w:tblPr>
        <w:tblW w:w="5000" w:type="pct"/>
        <w:tblCellMar>
          <w:left w:w="0" w:type="dxa"/>
          <w:right w:w="0" w:type="dxa"/>
        </w:tblCellMar>
        <w:tblLook w:val="0600" w:firstRow="0" w:lastRow="0" w:firstColumn="0" w:lastColumn="0" w:noHBand="1" w:noVBand="1"/>
      </w:tblPr>
      <w:tblGrid>
        <w:gridCol w:w="881"/>
        <w:gridCol w:w="5789"/>
      </w:tblGrid>
      <w:tr w:rsidR="000D5BC2" w:rsidRPr="000D5BC2" w14:paraId="1FB81EA9" w14:textId="77777777" w:rsidTr="002C2BE2">
        <w:trPr>
          <w:trHeight w:val="208"/>
        </w:trPr>
        <w:tc>
          <w:tcPr>
            <w:tcW w:w="544"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418C42A" w14:textId="77777777" w:rsidR="000D5BC2" w:rsidRPr="000D5BC2" w:rsidRDefault="000D5BC2" w:rsidP="002C2BE2">
            <w:pPr>
              <w:pStyle w:val="Testo2"/>
              <w:ind w:firstLine="0"/>
              <w:jc w:val="left"/>
              <w:rPr>
                <w:rFonts w:ascii="Times New Roman" w:hAnsi="Times New Roman"/>
                <w:b/>
                <w:bCs/>
                <w:szCs w:val="18"/>
                <w:lang w:val="en-US"/>
              </w:rPr>
            </w:pPr>
            <w:r w:rsidRPr="000D5BC2">
              <w:rPr>
                <w:rFonts w:ascii="Times New Roman" w:hAnsi="Times New Roman"/>
                <w:b/>
                <w:bCs/>
                <w:szCs w:val="18"/>
                <w:lang w:val="en-US"/>
              </w:rPr>
              <w:t>Score (equivalent to 5% of the final grade)</w:t>
            </w:r>
          </w:p>
        </w:tc>
        <w:tc>
          <w:tcPr>
            <w:tcW w:w="4456"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52A3820" w14:textId="77777777" w:rsidR="000D5BC2" w:rsidRPr="000D5BC2" w:rsidRDefault="000D5BC2" w:rsidP="002C2BE2">
            <w:pPr>
              <w:pStyle w:val="Testo2"/>
              <w:ind w:firstLine="0"/>
              <w:jc w:val="left"/>
              <w:rPr>
                <w:rFonts w:ascii="Times New Roman" w:hAnsi="Times New Roman"/>
                <w:szCs w:val="18"/>
              </w:rPr>
            </w:pPr>
            <w:r w:rsidRPr="000D5BC2">
              <w:rPr>
                <w:rFonts w:ascii="Times New Roman" w:hAnsi="Times New Roman"/>
                <w:b/>
                <w:bCs/>
                <w:szCs w:val="18"/>
              </w:rPr>
              <w:t xml:space="preserve">Description </w:t>
            </w:r>
          </w:p>
        </w:tc>
      </w:tr>
      <w:tr w:rsidR="000D5BC2" w:rsidRPr="000D5BC2" w14:paraId="1739CE51" w14:textId="77777777" w:rsidTr="002C2BE2">
        <w:trPr>
          <w:trHeight w:val="835"/>
        </w:trPr>
        <w:tc>
          <w:tcPr>
            <w:tcW w:w="544"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57CF69C" w14:textId="77777777" w:rsidR="000D5BC2" w:rsidRPr="000D5BC2" w:rsidRDefault="000D5BC2" w:rsidP="002C2BE2">
            <w:pPr>
              <w:pStyle w:val="Testo2"/>
              <w:ind w:firstLine="0"/>
              <w:jc w:val="left"/>
              <w:rPr>
                <w:rFonts w:ascii="Times New Roman" w:hAnsi="Times New Roman"/>
                <w:szCs w:val="18"/>
              </w:rPr>
            </w:pPr>
            <w:r w:rsidRPr="000D5BC2">
              <w:rPr>
                <w:rFonts w:ascii="Times New Roman" w:hAnsi="Times New Roman"/>
                <w:b/>
                <w:bCs/>
                <w:szCs w:val="18"/>
              </w:rPr>
              <w:t xml:space="preserve">+1,5 </w:t>
            </w:r>
          </w:p>
        </w:tc>
        <w:tc>
          <w:tcPr>
            <w:tcW w:w="4456"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560DA7DF"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 xml:space="preserve">Excellent breadth and depth of interventions, with many and very well formulated arguments regarding the theoretical and conceptual foundations of the discussed topics </w:t>
            </w:r>
          </w:p>
          <w:p w14:paraId="64EDF0BF"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Excellent discussion of empirical evidences, with many original and critical arguments regarding case studies and guest speeches (and site visits, if applicable)</w:t>
            </w:r>
          </w:p>
        </w:tc>
      </w:tr>
      <w:tr w:rsidR="000D5BC2" w:rsidRPr="000D5BC2" w14:paraId="4EBE3CB4" w14:textId="77777777" w:rsidTr="002C2BE2">
        <w:trPr>
          <w:trHeight w:val="819"/>
        </w:trPr>
        <w:tc>
          <w:tcPr>
            <w:tcW w:w="544"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FACC7BA" w14:textId="77777777" w:rsidR="000D5BC2" w:rsidRPr="000D5BC2" w:rsidRDefault="000D5BC2" w:rsidP="002C2BE2">
            <w:pPr>
              <w:pStyle w:val="Testo2"/>
              <w:ind w:firstLine="0"/>
              <w:jc w:val="left"/>
              <w:rPr>
                <w:rFonts w:ascii="Times New Roman" w:hAnsi="Times New Roman"/>
                <w:szCs w:val="18"/>
              </w:rPr>
            </w:pPr>
            <w:r w:rsidRPr="000D5BC2">
              <w:rPr>
                <w:rFonts w:ascii="Times New Roman" w:hAnsi="Times New Roman"/>
                <w:b/>
                <w:bCs/>
                <w:szCs w:val="18"/>
              </w:rPr>
              <w:t>+1</w:t>
            </w:r>
          </w:p>
        </w:tc>
        <w:tc>
          <w:tcPr>
            <w:tcW w:w="4456"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4276FD4B"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 xml:space="preserve">Good breadth and depth of interventions, with some well formulated arguments regarding the theoretical and conceptual foundations of the discussed topics </w:t>
            </w:r>
          </w:p>
          <w:p w14:paraId="69DFEE1A"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Good discussion of empirical evidencee, with some original and critical arguments regarding case studies and guest speeches (and site visits, if applicable)</w:t>
            </w:r>
          </w:p>
        </w:tc>
      </w:tr>
      <w:tr w:rsidR="000D5BC2" w:rsidRPr="000D5BC2" w14:paraId="26E177D4" w14:textId="77777777" w:rsidTr="002C2BE2">
        <w:trPr>
          <w:trHeight w:val="689"/>
        </w:trPr>
        <w:tc>
          <w:tcPr>
            <w:tcW w:w="544"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32B9663" w14:textId="77777777" w:rsidR="000D5BC2" w:rsidRPr="000D5BC2" w:rsidRDefault="000D5BC2" w:rsidP="002C2BE2">
            <w:pPr>
              <w:pStyle w:val="Testo2"/>
              <w:ind w:firstLine="0"/>
              <w:jc w:val="left"/>
              <w:rPr>
                <w:rFonts w:ascii="Times New Roman" w:hAnsi="Times New Roman"/>
                <w:szCs w:val="18"/>
              </w:rPr>
            </w:pPr>
            <w:r w:rsidRPr="000D5BC2">
              <w:rPr>
                <w:rFonts w:ascii="Times New Roman" w:hAnsi="Times New Roman"/>
                <w:b/>
                <w:bCs/>
                <w:szCs w:val="18"/>
              </w:rPr>
              <w:t>0</w:t>
            </w:r>
          </w:p>
        </w:tc>
        <w:tc>
          <w:tcPr>
            <w:tcW w:w="4456"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6A353B5D"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Absence/meaningless of formulated arguments regarding the theoretical and conceptual foundations of the discussed topics</w:t>
            </w:r>
          </w:p>
          <w:p w14:paraId="1733521A" w14:textId="77777777" w:rsidR="000D5BC2" w:rsidRPr="000D5BC2" w:rsidRDefault="000D5BC2" w:rsidP="002C2BE2">
            <w:pPr>
              <w:pStyle w:val="Testo2"/>
              <w:ind w:firstLine="0"/>
              <w:jc w:val="left"/>
              <w:rPr>
                <w:rFonts w:ascii="Times New Roman" w:hAnsi="Times New Roman"/>
                <w:szCs w:val="18"/>
                <w:lang w:val="en-US"/>
              </w:rPr>
            </w:pPr>
            <w:r w:rsidRPr="000D5BC2">
              <w:rPr>
                <w:rFonts w:ascii="Times New Roman" w:hAnsi="Times New Roman"/>
                <w:szCs w:val="18"/>
                <w:lang w:val="en-US"/>
              </w:rPr>
              <w:t>Absence/meaningless of original and critical arguments regarding the discussion of case studies and guest speeches (and site visits, if applicable)</w:t>
            </w:r>
          </w:p>
        </w:tc>
      </w:tr>
    </w:tbl>
    <w:p w14:paraId="5BA4DBAA" w14:textId="77777777" w:rsidR="000D5BC2" w:rsidRPr="005C4137" w:rsidRDefault="000D5BC2" w:rsidP="000D5BC2">
      <w:pPr>
        <w:pStyle w:val="Testo2"/>
        <w:rPr>
          <w:lang w:val="en-US"/>
        </w:rPr>
      </w:pPr>
      <w:r w:rsidRPr="005C4137">
        <w:rPr>
          <w:lang w:val="en-US"/>
        </w:rPr>
        <w:t>The student's peer assessment that is an evaluation of the contribution of your fellow team members during the group project follows this scale:</w:t>
      </w:r>
    </w:p>
    <w:tbl>
      <w:tblPr>
        <w:tblStyle w:val="Grigliatabella"/>
        <w:tblW w:w="0" w:type="auto"/>
        <w:tblLook w:val="04A0" w:firstRow="1" w:lastRow="0" w:firstColumn="1" w:lastColumn="0" w:noHBand="0" w:noVBand="1"/>
      </w:tblPr>
      <w:tblGrid>
        <w:gridCol w:w="988"/>
        <w:gridCol w:w="4394"/>
      </w:tblGrid>
      <w:tr w:rsidR="000D5BC2" w:rsidRPr="000D5BC2" w14:paraId="7084C462" w14:textId="77777777" w:rsidTr="002C2BE2">
        <w:tc>
          <w:tcPr>
            <w:tcW w:w="988" w:type="dxa"/>
          </w:tcPr>
          <w:p w14:paraId="5E8BF2C8" w14:textId="77777777" w:rsidR="000D5BC2" w:rsidRPr="000D5BC2" w:rsidRDefault="000D5BC2" w:rsidP="002C2BE2">
            <w:pPr>
              <w:rPr>
                <w:rFonts w:ascii="Times New Roman" w:hAnsi="Times New Roman" w:cs="Times New Roman"/>
                <w:b/>
                <w:bCs/>
                <w:sz w:val="18"/>
                <w:szCs w:val="18"/>
                <w:lang w:val="en-US"/>
              </w:rPr>
            </w:pPr>
            <w:r w:rsidRPr="000D5BC2">
              <w:rPr>
                <w:rFonts w:ascii="Times New Roman" w:hAnsi="Times New Roman" w:cs="Times New Roman"/>
                <w:b/>
                <w:sz w:val="18"/>
                <w:szCs w:val="18"/>
                <w:lang w:val="en-US"/>
              </w:rPr>
              <w:lastRenderedPageBreak/>
              <w:t>3</w:t>
            </w:r>
            <w:r w:rsidRPr="000D5BC2">
              <w:rPr>
                <w:rFonts w:ascii="Times New Roman" w:hAnsi="Times New Roman" w:cs="Times New Roman"/>
                <w:sz w:val="18"/>
                <w:szCs w:val="18"/>
                <w:lang w:val="en-US"/>
              </w:rPr>
              <w:t> </w:t>
            </w:r>
          </w:p>
        </w:tc>
        <w:tc>
          <w:tcPr>
            <w:tcW w:w="4394" w:type="dxa"/>
          </w:tcPr>
          <w:p w14:paraId="39EDBD52" w14:textId="77777777" w:rsidR="000D5BC2" w:rsidRPr="000D5BC2" w:rsidRDefault="000D5BC2" w:rsidP="002C2BE2">
            <w:pPr>
              <w:rPr>
                <w:rFonts w:ascii="Times New Roman" w:hAnsi="Times New Roman" w:cs="Times New Roman"/>
                <w:sz w:val="18"/>
                <w:szCs w:val="18"/>
                <w:lang w:val="en-US"/>
              </w:rPr>
            </w:pPr>
            <w:r w:rsidRPr="000D5BC2">
              <w:rPr>
                <w:rFonts w:ascii="Times New Roman" w:hAnsi="Times New Roman" w:cs="Times New Roman"/>
                <w:b/>
                <w:bCs/>
                <w:sz w:val="18"/>
                <w:szCs w:val="18"/>
                <w:lang w:val="en-US"/>
              </w:rPr>
              <w:t xml:space="preserve"> </w:t>
            </w:r>
            <w:r w:rsidRPr="000D5BC2">
              <w:rPr>
                <w:rFonts w:ascii="Times New Roman" w:hAnsi="Times New Roman" w:cs="Times New Roman"/>
                <w:sz w:val="18"/>
                <w:szCs w:val="18"/>
                <w:lang w:val="en-US"/>
              </w:rPr>
              <w:t xml:space="preserve">contribution above group average </w:t>
            </w:r>
          </w:p>
        </w:tc>
      </w:tr>
      <w:tr w:rsidR="000D5BC2" w:rsidRPr="000D5BC2" w14:paraId="128B8C72" w14:textId="77777777" w:rsidTr="002C2BE2">
        <w:tc>
          <w:tcPr>
            <w:tcW w:w="988" w:type="dxa"/>
          </w:tcPr>
          <w:p w14:paraId="306EDC63" w14:textId="77777777" w:rsidR="000D5BC2" w:rsidRPr="000D5BC2" w:rsidRDefault="000D5BC2" w:rsidP="002C2BE2">
            <w:pPr>
              <w:rPr>
                <w:rFonts w:ascii="Times New Roman" w:hAnsi="Times New Roman" w:cs="Times New Roman"/>
                <w:sz w:val="18"/>
                <w:szCs w:val="18"/>
                <w:lang w:val="en-US"/>
              </w:rPr>
            </w:pPr>
            <w:r w:rsidRPr="000D5BC2">
              <w:rPr>
                <w:rFonts w:ascii="Times New Roman" w:hAnsi="Times New Roman" w:cs="Times New Roman"/>
                <w:b/>
                <w:sz w:val="18"/>
                <w:szCs w:val="18"/>
                <w:lang w:val="en-US"/>
              </w:rPr>
              <w:t>2</w:t>
            </w:r>
            <w:r w:rsidRPr="000D5BC2">
              <w:rPr>
                <w:rFonts w:ascii="Times New Roman" w:hAnsi="Times New Roman" w:cs="Times New Roman"/>
                <w:sz w:val="18"/>
                <w:szCs w:val="18"/>
                <w:lang w:val="en-US"/>
              </w:rPr>
              <w:t xml:space="preserve"> </w:t>
            </w:r>
          </w:p>
        </w:tc>
        <w:tc>
          <w:tcPr>
            <w:tcW w:w="4394" w:type="dxa"/>
          </w:tcPr>
          <w:p w14:paraId="28099450" w14:textId="77777777" w:rsidR="000D5BC2" w:rsidRPr="000D5BC2" w:rsidRDefault="000D5BC2" w:rsidP="002C2BE2">
            <w:pPr>
              <w:rPr>
                <w:rFonts w:ascii="Times New Roman" w:hAnsi="Times New Roman" w:cs="Times New Roman"/>
                <w:sz w:val="18"/>
                <w:szCs w:val="18"/>
                <w:lang w:val="en-US"/>
              </w:rPr>
            </w:pPr>
            <w:r w:rsidRPr="000D5BC2">
              <w:rPr>
                <w:rFonts w:ascii="Times New Roman" w:hAnsi="Times New Roman" w:cs="Times New Roman"/>
                <w:sz w:val="18"/>
                <w:szCs w:val="18"/>
                <w:lang w:val="en-US"/>
              </w:rPr>
              <w:t xml:space="preserve"> average contribution (compared to rest of group) </w:t>
            </w:r>
          </w:p>
        </w:tc>
      </w:tr>
      <w:tr w:rsidR="000D5BC2" w:rsidRPr="000D5BC2" w14:paraId="47C842FA" w14:textId="77777777" w:rsidTr="002C2BE2">
        <w:tc>
          <w:tcPr>
            <w:tcW w:w="988" w:type="dxa"/>
          </w:tcPr>
          <w:p w14:paraId="0E979A8E" w14:textId="77777777" w:rsidR="000D5BC2" w:rsidRPr="000D5BC2" w:rsidRDefault="000D5BC2" w:rsidP="002C2BE2">
            <w:pPr>
              <w:rPr>
                <w:rFonts w:ascii="Times New Roman" w:hAnsi="Times New Roman" w:cs="Times New Roman"/>
                <w:sz w:val="18"/>
                <w:szCs w:val="18"/>
                <w:lang w:val="en-US"/>
              </w:rPr>
            </w:pPr>
            <w:r w:rsidRPr="000D5BC2">
              <w:rPr>
                <w:rFonts w:ascii="Times New Roman" w:hAnsi="Times New Roman" w:cs="Times New Roman"/>
                <w:b/>
                <w:sz w:val="18"/>
                <w:szCs w:val="18"/>
                <w:lang w:val="en-US"/>
              </w:rPr>
              <w:t>1</w:t>
            </w:r>
            <w:r w:rsidRPr="000D5BC2">
              <w:rPr>
                <w:rFonts w:ascii="Times New Roman" w:hAnsi="Times New Roman" w:cs="Times New Roman"/>
                <w:sz w:val="18"/>
                <w:szCs w:val="18"/>
                <w:lang w:val="en-US"/>
              </w:rPr>
              <w:t xml:space="preserve"> </w:t>
            </w:r>
          </w:p>
        </w:tc>
        <w:tc>
          <w:tcPr>
            <w:tcW w:w="4394" w:type="dxa"/>
          </w:tcPr>
          <w:p w14:paraId="6910E258" w14:textId="77777777" w:rsidR="000D5BC2" w:rsidRPr="000D5BC2" w:rsidRDefault="000D5BC2" w:rsidP="002C2BE2">
            <w:pPr>
              <w:rPr>
                <w:rFonts w:ascii="Times New Roman" w:hAnsi="Times New Roman" w:cs="Times New Roman"/>
                <w:sz w:val="18"/>
                <w:szCs w:val="18"/>
                <w:lang w:val="en-US"/>
              </w:rPr>
            </w:pPr>
            <w:r w:rsidRPr="000D5BC2">
              <w:rPr>
                <w:rFonts w:ascii="Times New Roman" w:hAnsi="Times New Roman" w:cs="Times New Roman"/>
                <w:sz w:val="18"/>
                <w:szCs w:val="18"/>
                <w:lang w:val="en-US"/>
              </w:rPr>
              <w:t xml:space="preserve"> contribution below group average</w:t>
            </w:r>
          </w:p>
        </w:tc>
      </w:tr>
      <w:tr w:rsidR="000D5BC2" w:rsidRPr="000D5BC2" w14:paraId="2CAEFAFF" w14:textId="77777777" w:rsidTr="002C2BE2">
        <w:tc>
          <w:tcPr>
            <w:tcW w:w="988" w:type="dxa"/>
          </w:tcPr>
          <w:p w14:paraId="68BE5812" w14:textId="77777777" w:rsidR="000D5BC2" w:rsidRPr="000D5BC2" w:rsidRDefault="000D5BC2" w:rsidP="002C2BE2">
            <w:pPr>
              <w:rPr>
                <w:rFonts w:ascii="Times New Roman" w:hAnsi="Times New Roman" w:cs="Times New Roman"/>
                <w:sz w:val="18"/>
                <w:szCs w:val="18"/>
                <w:lang w:val="en-US"/>
              </w:rPr>
            </w:pPr>
            <w:r w:rsidRPr="000D5BC2">
              <w:rPr>
                <w:rFonts w:ascii="Times New Roman" w:hAnsi="Times New Roman" w:cs="Times New Roman"/>
                <w:b/>
                <w:sz w:val="18"/>
                <w:szCs w:val="18"/>
                <w:lang w:val="en-US"/>
              </w:rPr>
              <w:t>0</w:t>
            </w:r>
            <w:r w:rsidRPr="000D5BC2">
              <w:rPr>
                <w:rFonts w:ascii="Times New Roman" w:hAnsi="Times New Roman" w:cs="Times New Roman"/>
                <w:sz w:val="18"/>
                <w:szCs w:val="18"/>
                <w:lang w:val="en-US"/>
              </w:rPr>
              <w:t xml:space="preserve"> </w:t>
            </w:r>
          </w:p>
        </w:tc>
        <w:tc>
          <w:tcPr>
            <w:tcW w:w="4394" w:type="dxa"/>
          </w:tcPr>
          <w:p w14:paraId="69458FEA" w14:textId="77777777" w:rsidR="000D5BC2" w:rsidRPr="000D5BC2" w:rsidRDefault="000D5BC2" w:rsidP="002C2BE2">
            <w:pPr>
              <w:rPr>
                <w:rFonts w:ascii="Times New Roman" w:hAnsi="Times New Roman" w:cs="Times New Roman"/>
                <w:sz w:val="18"/>
                <w:szCs w:val="18"/>
                <w:lang w:val="en-US"/>
              </w:rPr>
            </w:pPr>
            <w:r w:rsidRPr="000D5BC2">
              <w:rPr>
                <w:rFonts w:ascii="Times New Roman" w:hAnsi="Times New Roman" w:cs="Times New Roman"/>
                <w:sz w:val="18"/>
                <w:szCs w:val="18"/>
                <w:lang w:val="en-US"/>
              </w:rPr>
              <w:t xml:space="preserve"> no contribution</w:t>
            </w:r>
          </w:p>
        </w:tc>
      </w:tr>
      <w:tr w:rsidR="000D5BC2" w:rsidRPr="000D5BC2" w14:paraId="5BB9F7B7" w14:textId="77777777" w:rsidTr="002C2BE2">
        <w:tc>
          <w:tcPr>
            <w:tcW w:w="988" w:type="dxa"/>
          </w:tcPr>
          <w:p w14:paraId="4FDFCD32" w14:textId="77777777" w:rsidR="000D5BC2" w:rsidRPr="000D5BC2" w:rsidRDefault="000D5BC2" w:rsidP="002C2BE2">
            <w:pPr>
              <w:rPr>
                <w:rFonts w:ascii="Times New Roman" w:hAnsi="Times New Roman" w:cs="Times New Roman"/>
                <w:b/>
                <w:sz w:val="18"/>
                <w:szCs w:val="18"/>
              </w:rPr>
            </w:pPr>
            <w:r w:rsidRPr="000D5BC2">
              <w:rPr>
                <w:rFonts w:ascii="Times New Roman" w:hAnsi="Times New Roman" w:cs="Times New Roman"/>
                <w:b/>
                <w:sz w:val="18"/>
                <w:szCs w:val="18"/>
              </w:rPr>
              <w:t>-1</w:t>
            </w:r>
          </w:p>
        </w:tc>
        <w:tc>
          <w:tcPr>
            <w:tcW w:w="4394" w:type="dxa"/>
          </w:tcPr>
          <w:p w14:paraId="57CFD8B8" w14:textId="77777777" w:rsidR="000D5BC2" w:rsidRPr="000D5BC2" w:rsidRDefault="000D5BC2" w:rsidP="002C2BE2">
            <w:pPr>
              <w:rPr>
                <w:rFonts w:ascii="Times New Roman" w:hAnsi="Times New Roman" w:cs="Times New Roman"/>
                <w:sz w:val="18"/>
                <w:szCs w:val="18"/>
                <w:lang w:val="en-US"/>
              </w:rPr>
            </w:pPr>
            <w:r w:rsidRPr="000D5BC2">
              <w:rPr>
                <w:rFonts w:ascii="Times New Roman" w:hAnsi="Times New Roman" w:cs="Times New Roman"/>
                <w:sz w:val="18"/>
                <w:szCs w:val="18"/>
                <w:lang w:val="en-US"/>
              </w:rPr>
              <w:t>hindrance to the group efforts</w:t>
            </w:r>
          </w:p>
        </w:tc>
      </w:tr>
    </w:tbl>
    <w:p w14:paraId="0C0C5D82" w14:textId="77777777" w:rsidR="000D5BC2" w:rsidRPr="005C4137" w:rsidRDefault="000D5BC2" w:rsidP="000D5BC2">
      <w:pPr>
        <w:pStyle w:val="Testo2"/>
        <w:rPr>
          <w:b/>
          <w:bCs/>
          <w:i/>
          <w:iCs/>
          <w:lang w:val="en-US"/>
        </w:rPr>
      </w:pPr>
      <w:r w:rsidRPr="005C4137">
        <w:rPr>
          <w:lang w:val="en-US"/>
        </w:rPr>
        <w:t>Each member of the group should fill the form for the individual diary provided on Blackboard and give justification of their ratings. Your assessment will be combined with those of your other group members and may be used to moderate individual marks for the group work.</w:t>
      </w:r>
    </w:p>
    <w:p w14:paraId="516BFE85" w14:textId="77777777" w:rsidR="000D5BC2" w:rsidRPr="000D5BC2" w:rsidRDefault="000D5BC2" w:rsidP="000D5BC2">
      <w:pPr>
        <w:spacing w:before="240" w:after="120"/>
        <w:rPr>
          <w:b/>
          <w:bCs/>
          <w:i/>
          <w:iCs/>
          <w:sz w:val="18"/>
          <w:szCs w:val="18"/>
          <w:lang w:val="en-GB"/>
        </w:rPr>
      </w:pPr>
      <w:r w:rsidRPr="000D5BC2">
        <w:rPr>
          <w:b/>
          <w:bCs/>
          <w:i/>
          <w:iCs/>
          <w:sz w:val="18"/>
          <w:szCs w:val="18"/>
          <w:lang w:val="en-GB"/>
        </w:rPr>
        <w:t>NOTES AND PREREQUISITES</w:t>
      </w:r>
    </w:p>
    <w:p w14:paraId="37101A4B" w14:textId="77777777" w:rsidR="000D5BC2" w:rsidRPr="005C4137" w:rsidRDefault="000D5BC2" w:rsidP="000D5BC2">
      <w:pPr>
        <w:pStyle w:val="Testo2"/>
        <w:rPr>
          <w:lang w:val="en-US"/>
        </w:rPr>
      </w:pPr>
      <w:r w:rsidRPr="005C4137">
        <w:rPr>
          <w:lang w:val="en-US"/>
        </w:rPr>
        <w:t>N. ECTS - 8</w:t>
      </w:r>
    </w:p>
    <w:p w14:paraId="7FCD9140" w14:textId="77777777" w:rsidR="000D5BC2" w:rsidRPr="005C4137" w:rsidRDefault="000D5BC2" w:rsidP="000D5BC2">
      <w:pPr>
        <w:pStyle w:val="Testo2"/>
        <w:rPr>
          <w:lang w:val="en-US"/>
        </w:rPr>
      </w:pPr>
      <w:r w:rsidRPr="005C4137">
        <w:rPr>
          <w:lang w:val="en-US"/>
        </w:rPr>
        <w:t>Enrollment requirements – No prerequisite courses are required to attend this course.</w:t>
      </w:r>
    </w:p>
    <w:p w14:paraId="0C4A3492" w14:textId="77777777" w:rsidR="000D5BC2" w:rsidRPr="005C4137" w:rsidRDefault="000D5BC2" w:rsidP="000D5BC2">
      <w:pPr>
        <w:pStyle w:val="Testo2"/>
        <w:rPr>
          <w:lang w:val="en-US"/>
        </w:rPr>
      </w:pPr>
      <w:r w:rsidRPr="005C4137">
        <w:rPr>
          <w:lang w:val="en-US"/>
        </w:rPr>
        <w:t>Language of instructions - English</w:t>
      </w:r>
    </w:p>
    <w:p w14:paraId="15CF834F" w14:textId="77777777" w:rsidR="000D5BC2" w:rsidRDefault="000D5BC2" w:rsidP="000D5BC2">
      <w:pPr>
        <w:pStyle w:val="Testo2"/>
        <w:rPr>
          <w:lang w:val="en-US"/>
        </w:rPr>
      </w:pPr>
      <w:r w:rsidRPr="005C4137">
        <w:rPr>
          <w:lang w:val="en-US"/>
        </w:rPr>
        <w:t>Attendance –</w:t>
      </w:r>
      <w:bookmarkStart w:id="1" w:name="_Hlk67120435"/>
      <w:r w:rsidRPr="005C4137">
        <w:rPr>
          <w:lang w:val="en-US"/>
        </w:rPr>
        <w:t xml:space="preserve"> A minimum attendance of 75% is mandatory for a final PASS in the multiple assessment route. Even though attendance is not mandatory for a PASS in the single assessment route, it is strongly recommended. </w:t>
      </w:r>
      <w:bookmarkEnd w:id="1"/>
    </w:p>
    <w:p w14:paraId="54ED1F00" w14:textId="77777777" w:rsidR="000D5BC2" w:rsidRPr="005C4137" w:rsidRDefault="000D5BC2" w:rsidP="000D5BC2">
      <w:pPr>
        <w:pStyle w:val="Testo2"/>
        <w:rPr>
          <w:lang w:val="en-US"/>
        </w:rPr>
      </w:pPr>
      <w:r w:rsidRPr="005C4137">
        <w:rPr>
          <w:lang w:val="en-US"/>
        </w:rPr>
        <w:t>Associated courses – Corporate strategy, International corporate finance, Managerial economics, Project management, Supply chain management</w:t>
      </w:r>
    </w:p>
    <w:p w14:paraId="27CB30C6" w14:textId="77777777" w:rsidR="000D5BC2" w:rsidRPr="005C4137" w:rsidRDefault="000D5BC2" w:rsidP="000D5BC2">
      <w:pPr>
        <w:pStyle w:val="Testo2"/>
        <w:rPr>
          <w:lang w:val="en-US"/>
        </w:rPr>
      </w:pPr>
      <w:r w:rsidRPr="005C4137">
        <w:rPr>
          <w:lang w:val="en-US"/>
        </w:rPr>
        <w:t>International dimension – International teaching materials are used throughout the course.</w:t>
      </w:r>
    </w:p>
    <w:p w14:paraId="391AD361" w14:textId="77777777" w:rsidR="000D5BC2" w:rsidRPr="005C4137" w:rsidRDefault="000D5BC2" w:rsidP="000D5BC2">
      <w:pPr>
        <w:pStyle w:val="Testo2"/>
        <w:rPr>
          <w:lang w:val="en-US"/>
        </w:rPr>
      </w:pPr>
      <w:r w:rsidRPr="005C4137">
        <w:rPr>
          <w:lang w:val="en-US"/>
        </w:rPr>
        <w:t xml:space="preserve">Business connection - The course makes extensive use of contemporary business cases and examples. </w:t>
      </w:r>
    </w:p>
    <w:p w14:paraId="552BF399" w14:textId="77777777" w:rsidR="000D5BC2" w:rsidRPr="005C4137" w:rsidRDefault="000D5BC2" w:rsidP="000D5BC2">
      <w:pPr>
        <w:pStyle w:val="Testo2"/>
        <w:rPr>
          <w:lang w:val="en-US"/>
        </w:rPr>
      </w:pPr>
      <w:r w:rsidRPr="005C4137">
        <w:rPr>
          <w:lang w:val="en-US"/>
        </w:rPr>
        <w:t>Professional context - International managers and entrepreneurs are responsible for the proper design and implementation of well-structured and articulated internalization plans to explore growth opportunities in the global marketplace. In todays’ highly interconnected, digital, globalized, environmentally and sustainability-oriented world</w:t>
      </w:r>
      <w:r>
        <w:rPr>
          <w:lang w:val="en-US"/>
        </w:rPr>
        <w:t>,</w:t>
      </w:r>
      <w:r w:rsidRPr="005C4137">
        <w:rPr>
          <w:lang w:val="en-US"/>
        </w:rPr>
        <w:t xml:space="preserve"> managers are required to master the use of analytical tools; big data, and to formulate and executive complex business strategies and decisions based on timely, accurate, and relevant information and effective business planning processes.</w:t>
      </w:r>
    </w:p>
    <w:p w14:paraId="122D19BD" w14:textId="77777777" w:rsidR="000D5BC2" w:rsidRDefault="000D5BC2" w:rsidP="000D5BC2">
      <w:pPr>
        <w:pStyle w:val="Testo2"/>
        <w:rPr>
          <w:lang w:val="en-US"/>
        </w:rPr>
      </w:pPr>
      <w:r w:rsidRPr="005C4137">
        <w:rPr>
          <w:lang w:val="en-US"/>
        </w:rPr>
        <w:t xml:space="preserve">Further information – Additional information regarding the course schedule and delivery, learning assessment, expectation and policies, general announcements, and additional course materials will be posted on Blackboard. </w:t>
      </w:r>
    </w:p>
    <w:p w14:paraId="495A3254" w14:textId="49C60316" w:rsidR="000D5BC2" w:rsidRPr="000D5BC2" w:rsidRDefault="000D5BC2" w:rsidP="000D5BC2">
      <w:pPr>
        <w:pStyle w:val="Testo2"/>
        <w:rPr>
          <w:i/>
          <w:iCs/>
        </w:rPr>
      </w:pPr>
      <w:bookmarkStart w:id="2" w:name="_Hlk70520198"/>
      <w:r w:rsidRPr="000D5BC2">
        <w:rPr>
          <w:i/>
          <w:iCs/>
        </w:rPr>
        <w:t>Expectations and policy</w:t>
      </w:r>
    </w:p>
    <w:p w14:paraId="24499197" w14:textId="77777777" w:rsidR="000D5BC2" w:rsidRPr="005C4137" w:rsidRDefault="000D5BC2" w:rsidP="000D5BC2">
      <w:pPr>
        <w:pStyle w:val="Testo2"/>
        <w:rPr>
          <w:lang w:val="en-US"/>
        </w:rPr>
      </w:pPr>
      <w:r w:rsidRPr="005C4137">
        <w:rPr>
          <w:lang w:val="en-US"/>
        </w:rPr>
        <w:t>Use of devices - All smartphones, tablets and other electronic devices should be turned off during class. Use of laptops in the class is a privilege and not a right. Laptops are to be used for class activities only. If you are seen surfing, chatting, e-mailing, etc., you will lose laptop privileges.</w:t>
      </w:r>
    </w:p>
    <w:bookmarkEnd w:id="2"/>
    <w:p w14:paraId="354A881E" w14:textId="3F8127B1" w:rsidR="000D5BC2" w:rsidRPr="000D5BC2" w:rsidRDefault="000D5BC2" w:rsidP="000D5BC2">
      <w:pPr>
        <w:pStyle w:val="Testo2"/>
        <w:rPr>
          <w:i/>
          <w:iCs/>
        </w:rPr>
      </w:pPr>
      <w:r w:rsidRPr="000D5BC2">
        <w:rPr>
          <w:i/>
          <w:iCs/>
        </w:rPr>
        <w:t xml:space="preserve">Course schedule </w:t>
      </w:r>
    </w:p>
    <w:p w14:paraId="0754AFA8" w14:textId="77777777" w:rsidR="000D5BC2" w:rsidRPr="005C4137" w:rsidRDefault="000D5BC2" w:rsidP="000D5BC2">
      <w:pPr>
        <w:pStyle w:val="Testo2"/>
        <w:rPr>
          <w:lang w:val="en-US"/>
        </w:rPr>
      </w:pPr>
      <w:r w:rsidRPr="005C4137">
        <w:rPr>
          <w:lang w:val="en-US"/>
        </w:rPr>
        <w:t xml:space="preserve">The course schedule will be made available weekly and published on Blackboard following the scheme below. </w:t>
      </w:r>
    </w:p>
    <w:tbl>
      <w:tblPr>
        <w:tblStyle w:val="Grigliatabella"/>
        <w:tblW w:w="0" w:type="auto"/>
        <w:tblLook w:val="04A0" w:firstRow="1" w:lastRow="0" w:firstColumn="1" w:lastColumn="0" w:noHBand="0" w:noVBand="1"/>
      </w:tblPr>
      <w:tblGrid>
        <w:gridCol w:w="1806"/>
        <w:gridCol w:w="1573"/>
        <w:gridCol w:w="1526"/>
        <w:gridCol w:w="1775"/>
      </w:tblGrid>
      <w:tr w:rsidR="000D5BC2" w:rsidRPr="000D5BC2" w14:paraId="5F6C276E" w14:textId="77777777" w:rsidTr="000D5BC2">
        <w:tc>
          <w:tcPr>
            <w:tcW w:w="1806" w:type="dxa"/>
          </w:tcPr>
          <w:p w14:paraId="70F81B32" w14:textId="77777777" w:rsidR="000D5BC2" w:rsidRPr="000D5BC2" w:rsidRDefault="000D5BC2" w:rsidP="002C2BE2">
            <w:pPr>
              <w:rPr>
                <w:rFonts w:ascii="Times New Roman" w:hAnsi="Times New Roman" w:cs="Times New Roman"/>
                <w:sz w:val="18"/>
                <w:szCs w:val="18"/>
                <w:lang w:val="en-US"/>
              </w:rPr>
            </w:pPr>
            <w:r w:rsidRPr="000D5BC2">
              <w:rPr>
                <w:rFonts w:ascii="Times New Roman" w:hAnsi="Times New Roman" w:cs="Times New Roman"/>
                <w:sz w:val="18"/>
                <w:szCs w:val="18"/>
                <w:lang w:val="en-US"/>
              </w:rPr>
              <w:t>#Session/Date</w:t>
            </w:r>
          </w:p>
        </w:tc>
        <w:tc>
          <w:tcPr>
            <w:tcW w:w="1573" w:type="dxa"/>
          </w:tcPr>
          <w:p w14:paraId="7938390F" w14:textId="77777777" w:rsidR="000D5BC2" w:rsidRPr="000D5BC2" w:rsidRDefault="000D5BC2" w:rsidP="002C2BE2">
            <w:pPr>
              <w:rPr>
                <w:rFonts w:ascii="Times New Roman" w:hAnsi="Times New Roman" w:cs="Times New Roman"/>
                <w:sz w:val="18"/>
                <w:szCs w:val="18"/>
                <w:lang w:val="en-US"/>
              </w:rPr>
            </w:pPr>
            <w:r w:rsidRPr="000D5BC2">
              <w:rPr>
                <w:rFonts w:ascii="Times New Roman" w:hAnsi="Times New Roman" w:cs="Times New Roman"/>
                <w:sz w:val="18"/>
                <w:szCs w:val="18"/>
                <w:lang w:val="en-US"/>
              </w:rPr>
              <w:t>Teacher</w:t>
            </w:r>
          </w:p>
        </w:tc>
        <w:tc>
          <w:tcPr>
            <w:tcW w:w="1526" w:type="dxa"/>
          </w:tcPr>
          <w:p w14:paraId="7CF1E3DD" w14:textId="77777777" w:rsidR="000D5BC2" w:rsidRPr="000D5BC2" w:rsidRDefault="000D5BC2" w:rsidP="002C2BE2">
            <w:pPr>
              <w:rPr>
                <w:rFonts w:ascii="Times New Roman" w:hAnsi="Times New Roman" w:cs="Times New Roman"/>
                <w:sz w:val="18"/>
                <w:szCs w:val="18"/>
                <w:lang w:val="en-US"/>
              </w:rPr>
            </w:pPr>
            <w:r w:rsidRPr="000D5BC2">
              <w:rPr>
                <w:rFonts w:ascii="Times New Roman" w:hAnsi="Times New Roman" w:cs="Times New Roman"/>
                <w:sz w:val="18"/>
                <w:szCs w:val="18"/>
                <w:lang w:val="en-US"/>
              </w:rPr>
              <w:t>Topics</w:t>
            </w:r>
          </w:p>
        </w:tc>
        <w:tc>
          <w:tcPr>
            <w:tcW w:w="1775" w:type="dxa"/>
          </w:tcPr>
          <w:p w14:paraId="66BF9962" w14:textId="77777777" w:rsidR="000D5BC2" w:rsidRPr="000D5BC2" w:rsidRDefault="000D5BC2" w:rsidP="002C2BE2">
            <w:pPr>
              <w:rPr>
                <w:rFonts w:ascii="Times New Roman" w:hAnsi="Times New Roman" w:cs="Times New Roman"/>
                <w:sz w:val="18"/>
                <w:szCs w:val="18"/>
                <w:lang w:val="en-US"/>
              </w:rPr>
            </w:pPr>
            <w:r w:rsidRPr="000D5BC2">
              <w:rPr>
                <w:rFonts w:ascii="Times New Roman" w:hAnsi="Times New Roman" w:cs="Times New Roman"/>
                <w:sz w:val="18"/>
                <w:szCs w:val="18"/>
                <w:lang w:val="en-US"/>
              </w:rPr>
              <w:t>Required readings/case</w:t>
            </w:r>
          </w:p>
        </w:tc>
      </w:tr>
      <w:tr w:rsidR="000D5BC2" w:rsidRPr="000D5BC2" w14:paraId="6C8C7C63" w14:textId="77777777" w:rsidTr="000D5BC2">
        <w:tc>
          <w:tcPr>
            <w:tcW w:w="1806" w:type="dxa"/>
          </w:tcPr>
          <w:p w14:paraId="53319734" w14:textId="77777777" w:rsidR="000D5BC2" w:rsidRPr="000D5BC2" w:rsidRDefault="000D5BC2" w:rsidP="002C2BE2">
            <w:pPr>
              <w:rPr>
                <w:rFonts w:ascii="Times New Roman" w:hAnsi="Times New Roman" w:cs="Times New Roman"/>
                <w:sz w:val="18"/>
                <w:szCs w:val="18"/>
                <w:lang w:val="en-US"/>
              </w:rPr>
            </w:pPr>
          </w:p>
        </w:tc>
        <w:tc>
          <w:tcPr>
            <w:tcW w:w="1573" w:type="dxa"/>
          </w:tcPr>
          <w:p w14:paraId="3082837A" w14:textId="77777777" w:rsidR="000D5BC2" w:rsidRPr="000D5BC2" w:rsidRDefault="000D5BC2" w:rsidP="002C2BE2">
            <w:pPr>
              <w:rPr>
                <w:rFonts w:ascii="Times New Roman" w:hAnsi="Times New Roman" w:cs="Times New Roman"/>
                <w:sz w:val="18"/>
                <w:szCs w:val="18"/>
                <w:lang w:val="en-US"/>
              </w:rPr>
            </w:pPr>
          </w:p>
        </w:tc>
        <w:tc>
          <w:tcPr>
            <w:tcW w:w="1526" w:type="dxa"/>
          </w:tcPr>
          <w:p w14:paraId="19FAB424" w14:textId="77777777" w:rsidR="000D5BC2" w:rsidRPr="000D5BC2" w:rsidRDefault="000D5BC2" w:rsidP="002C2BE2">
            <w:pPr>
              <w:rPr>
                <w:rFonts w:ascii="Times New Roman" w:hAnsi="Times New Roman" w:cs="Times New Roman"/>
                <w:sz w:val="18"/>
                <w:szCs w:val="18"/>
                <w:lang w:val="en-US"/>
              </w:rPr>
            </w:pPr>
          </w:p>
        </w:tc>
        <w:tc>
          <w:tcPr>
            <w:tcW w:w="1775" w:type="dxa"/>
          </w:tcPr>
          <w:p w14:paraId="41DD943B" w14:textId="77777777" w:rsidR="000D5BC2" w:rsidRPr="000D5BC2" w:rsidRDefault="000D5BC2" w:rsidP="002C2BE2">
            <w:pPr>
              <w:rPr>
                <w:rFonts w:ascii="Times New Roman" w:hAnsi="Times New Roman" w:cs="Times New Roman"/>
                <w:sz w:val="18"/>
                <w:szCs w:val="18"/>
                <w:lang w:val="en-US"/>
              </w:rPr>
            </w:pPr>
          </w:p>
        </w:tc>
      </w:tr>
      <w:tr w:rsidR="000D5BC2" w:rsidRPr="000D5BC2" w14:paraId="5E57131F" w14:textId="77777777" w:rsidTr="000D5BC2">
        <w:tc>
          <w:tcPr>
            <w:tcW w:w="1806" w:type="dxa"/>
          </w:tcPr>
          <w:p w14:paraId="648CE3D0" w14:textId="77777777" w:rsidR="000D5BC2" w:rsidRPr="000D5BC2" w:rsidRDefault="000D5BC2" w:rsidP="002C2BE2">
            <w:pPr>
              <w:rPr>
                <w:rFonts w:ascii="Times New Roman" w:hAnsi="Times New Roman" w:cs="Times New Roman"/>
                <w:sz w:val="18"/>
                <w:szCs w:val="18"/>
                <w:lang w:val="en-US"/>
              </w:rPr>
            </w:pPr>
          </w:p>
        </w:tc>
        <w:tc>
          <w:tcPr>
            <w:tcW w:w="1573" w:type="dxa"/>
          </w:tcPr>
          <w:p w14:paraId="0C0C9A87" w14:textId="77777777" w:rsidR="000D5BC2" w:rsidRPr="000D5BC2" w:rsidRDefault="000D5BC2" w:rsidP="002C2BE2">
            <w:pPr>
              <w:rPr>
                <w:rFonts w:ascii="Times New Roman" w:hAnsi="Times New Roman" w:cs="Times New Roman"/>
                <w:sz w:val="18"/>
                <w:szCs w:val="18"/>
                <w:lang w:val="en-US"/>
              </w:rPr>
            </w:pPr>
          </w:p>
        </w:tc>
        <w:tc>
          <w:tcPr>
            <w:tcW w:w="1526" w:type="dxa"/>
          </w:tcPr>
          <w:p w14:paraId="5A90D919" w14:textId="77777777" w:rsidR="000D5BC2" w:rsidRPr="000D5BC2" w:rsidRDefault="000D5BC2" w:rsidP="002C2BE2">
            <w:pPr>
              <w:rPr>
                <w:rFonts w:ascii="Times New Roman" w:hAnsi="Times New Roman" w:cs="Times New Roman"/>
                <w:sz w:val="18"/>
                <w:szCs w:val="18"/>
                <w:lang w:val="en-US"/>
              </w:rPr>
            </w:pPr>
          </w:p>
        </w:tc>
        <w:tc>
          <w:tcPr>
            <w:tcW w:w="1775" w:type="dxa"/>
          </w:tcPr>
          <w:p w14:paraId="01E58CCC" w14:textId="77777777" w:rsidR="000D5BC2" w:rsidRPr="000D5BC2" w:rsidRDefault="000D5BC2" w:rsidP="002C2BE2">
            <w:pPr>
              <w:rPr>
                <w:rFonts w:ascii="Times New Roman" w:hAnsi="Times New Roman" w:cs="Times New Roman"/>
                <w:sz w:val="18"/>
                <w:szCs w:val="18"/>
                <w:lang w:val="en-US"/>
              </w:rPr>
            </w:pPr>
          </w:p>
        </w:tc>
      </w:tr>
    </w:tbl>
    <w:p w14:paraId="1A68DD52" w14:textId="77777777" w:rsidR="00ED7942" w:rsidRPr="00ED7942" w:rsidRDefault="00ED7942" w:rsidP="000D5BC2"/>
    <w:sectPr w:rsidR="00ED7942" w:rsidRPr="00ED794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9D4E" w14:textId="77777777" w:rsidR="001958B2" w:rsidRDefault="001958B2" w:rsidP="001958B2">
      <w:pPr>
        <w:spacing w:line="240" w:lineRule="auto"/>
      </w:pPr>
      <w:r>
        <w:separator/>
      </w:r>
    </w:p>
  </w:endnote>
  <w:endnote w:type="continuationSeparator" w:id="0">
    <w:p w14:paraId="46A0B68A" w14:textId="77777777" w:rsidR="001958B2" w:rsidRDefault="001958B2" w:rsidP="001958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3431" w14:textId="77777777" w:rsidR="001958B2" w:rsidRDefault="001958B2" w:rsidP="001958B2">
      <w:pPr>
        <w:spacing w:line="240" w:lineRule="auto"/>
      </w:pPr>
      <w:r>
        <w:separator/>
      </w:r>
    </w:p>
  </w:footnote>
  <w:footnote w:type="continuationSeparator" w:id="0">
    <w:p w14:paraId="0536656A" w14:textId="77777777" w:rsidR="001958B2" w:rsidRDefault="001958B2" w:rsidP="001958B2">
      <w:pPr>
        <w:spacing w:line="240" w:lineRule="auto"/>
      </w:pPr>
      <w:r>
        <w:continuationSeparator/>
      </w:r>
    </w:p>
  </w:footnote>
  <w:footnote w:id="1">
    <w:p w14:paraId="54FCD2DF" w14:textId="77777777" w:rsidR="001958B2" w:rsidRDefault="001958B2" w:rsidP="001958B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30648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42"/>
    <w:rsid w:val="000D5BC2"/>
    <w:rsid w:val="00187B99"/>
    <w:rsid w:val="001958B2"/>
    <w:rsid w:val="002014DD"/>
    <w:rsid w:val="002D5E17"/>
    <w:rsid w:val="004D1217"/>
    <w:rsid w:val="004D6008"/>
    <w:rsid w:val="00640794"/>
    <w:rsid w:val="006F1772"/>
    <w:rsid w:val="008942E7"/>
    <w:rsid w:val="008A1204"/>
    <w:rsid w:val="00900CCA"/>
    <w:rsid w:val="00924B77"/>
    <w:rsid w:val="00940DA2"/>
    <w:rsid w:val="009E055C"/>
    <w:rsid w:val="00A74F6F"/>
    <w:rsid w:val="00AD7557"/>
    <w:rsid w:val="00B50C5D"/>
    <w:rsid w:val="00B51253"/>
    <w:rsid w:val="00B525CC"/>
    <w:rsid w:val="00D404F2"/>
    <w:rsid w:val="00DD0068"/>
    <w:rsid w:val="00E607E6"/>
    <w:rsid w:val="00ED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608FF"/>
  <w15:chartTrackingRefBased/>
  <w15:docId w15:val="{799D24D9-567B-47E9-A933-6E064888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794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ED7942"/>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ED7942"/>
    <w:rPr>
      <w:rFonts w:ascii="Arial" w:hAnsi="Arial" w:cs="Arial"/>
      <w:sz w:val="18"/>
      <w:szCs w:val="18"/>
    </w:rPr>
  </w:style>
  <w:style w:type="table" w:styleId="Grigliatabella">
    <w:name w:val="Table Grid"/>
    <w:basedOn w:val="Tabellanormale"/>
    <w:uiPriority w:val="39"/>
    <w:rsid w:val="000D5B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1958B2"/>
    <w:pPr>
      <w:spacing w:line="240" w:lineRule="auto"/>
    </w:pPr>
    <w:rPr>
      <w:szCs w:val="20"/>
    </w:rPr>
  </w:style>
  <w:style w:type="character" w:customStyle="1" w:styleId="TestonotaapidipaginaCarattere">
    <w:name w:val="Testo nota a piè di pagina Carattere"/>
    <w:basedOn w:val="Carpredefinitoparagrafo"/>
    <w:link w:val="Testonotaapidipagina"/>
    <w:rsid w:val="001958B2"/>
  </w:style>
  <w:style w:type="character" w:styleId="Rimandonotaapidipagina">
    <w:name w:val="footnote reference"/>
    <w:basedOn w:val="Carpredefinitoparagrafo"/>
    <w:rsid w:val="001958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8</Pages>
  <Words>2485</Words>
  <Characters>15682</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2023-09-12T06:50:00Z</dcterms:created>
  <dcterms:modified xsi:type="dcterms:W3CDTF">2023-09-12T07:10:00Z</dcterms:modified>
</cp:coreProperties>
</file>