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1463" w14:textId="76B6271D" w:rsidR="002D5E17" w:rsidRDefault="00591138" w:rsidP="002D5E17">
      <w:pPr>
        <w:pStyle w:val="Titolo1"/>
      </w:pPr>
      <w:r>
        <w:t>Fiscalità applicata per le imprese</w:t>
      </w:r>
    </w:p>
    <w:p w14:paraId="391097BB" w14:textId="450F5484" w:rsidR="00591138" w:rsidRDefault="00591138" w:rsidP="00591138">
      <w:pPr>
        <w:pStyle w:val="Titolo2"/>
      </w:pPr>
      <w:r>
        <w:t>Prof. Massimo Cremona</w:t>
      </w:r>
    </w:p>
    <w:p w14:paraId="3EB8D130" w14:textId="77777777" w:rsidR="00591138" w:rsidRDefault="00591138" w:rsidP="00591138">
      <w:pPr>
        <w:spacing w:before="240" w:after="120" w:line="240" w:lineRule="exact"/>
        <w:rPr>
          <w:b/>
          <w:sz w:val="18"/>
        </w:rPr>
      </w:pPr>
      <w:r>
        <w:rPr>
          <w:b/>
          <w:i/>
          <w:sz w:val="18"/>
        </w:rPr>
        <w:t>OBIETTIVO DEL CORSO E RISULTATI DI APPRENDIMENTO ATTESI</w:t>
      </w:r>
    </w:p>
    <w:p w14:paraId="4960CCF0" w14:textId="77777777" w:rsidR="00591138" w:rsidRDefault="00591138" w:rsidP="00591138">
      <w:r>
        <w:t>L‘insegnamento si propone di fornire agli studenti una generale comprensione delle tecniche di fiscalità applicata dalle imprese italiane.</w:t>
      </w:r>
    </w:p>
    <w:p w14:paraId="21A2F0A0" w14:textId="77777777" w:rsidR="00591138" w:rsidRDefault="00591138" w:rsidP="00591138">
      <w:r>
        <w:t>Pertanto, il corso si sviluppa inizialmente nell’approfondimento delle principali norme fiscali italiane in tema di imposte dirette per le imprese. Successivamente saranno affrontati le tecniche applicative fiscali quali rapporti tra capitale proprio e capitale di terzi, presenza di holding, gruppi italiani e multinazionali, prezzi di trasferimento etc. Verranno anche esaminati gli effetti fiscali delle operazioni di ristrutturazione aziendale (fusioni, scissioni, trasformazioni e conferimenti) sia ai fini domestici che in caso di operazioni transfrontaliere.</w:t>
      </w:r>
    </w:p>
    <w:p w14:paraId="02F5F103" w14:textId="77777777" w:rsidR="00591138" w:rsidRDefault="00591138" w:rsidP="00591138">
      <w:r>
        <w:t>Durante il corso si analizzeranno casi pratici e saranno commentati in classe esempi di operazioni compiute da imprese o gruppi italiani.</w:t>
      </w:r>
    </w:p>
    <w:p w14:paraId="302BAD1F" w14:textId="77777777" w:rsidR="00591138" w:rsidRDefault="00591138" w:rsidP="00591138">
      <w:r>
        <w:t>Pertanto, l'obiettivo prioritario del corso è quello di trasmettere gli strumenti e le tecniche fondamentali per comprendere e affrontare le decisioni fiscali nella gestione dell’impresa. Partendo dalla norma giuridica, si affronteranno le tecniche applicative di analisi delle scelte delle variabili fiscali, insegnando allo studente altresì l’utilizzo di un linguaggio appropriato ancorché comprensibile; quindi, tramite un approccio inizialmente teorico si svilupperanno esempi e casi aziendali che consentiranno una maggior comprensione pratica degli aspetti fiscali che condizionano la vita aziendale.</w:t>
      </w:r>
    </w:p>
    <w:p w14:paraId="169D5E7A" w14:textId="77777777" w:rsidR="00591138" w:rsidRDefault="00591138" w:rsidP="00591138">
      <w:r>
        <w:t>Al termine lo studente:</w:t>
      </w:r>
    </w:p>
    <w:p w14:paraId="2E3E1B21" w14:textId="507D8085" w:rsidR="00591138" w:rsidRDefault="00591138" w:rsidP="00211071">
      <w:pPr>
        <w:ind w:left="284" w:hanging="284"/>
      </w:pPr>
      <w:r>
        <w:t>1.</w:t>
      </w:r>
      <w:r w:rsidR="00211071">
        <w:tab/>
      </w:r>
      <w:r>
        <w:t>Potrà conoscere e potrà comprendere le tecniche necessarie per le decisioni fiscali all’interno dell’impresa.</w:t>
      </w:r>
    </w:p>
    <w:p w14:paraId="1FA38C4B" w14:textId="2BCD65BF" w:rsidR="00591138" w:rsidRDefault="00591138" w:rsidP="00211071">
      <w:pPr>
        <w:ind w:left="284" w:hanging="284"/>
      </w:pPr>
      <w:r>
        <w:t>2.</w:t>
      </w:r>
      <w:r w:rsidR="00211071">
        <w:tab/>
      </w:r>
      <w:r>
        <w:t>Potrà applicare le conoscenze in base alla sua comprensione dei temi affrontati nel corso.</w:t>
      </w:r>
    </w:p>
    <w:p w14:paraId="6049E1C6" w14:textId="000C519F" w:rsidR="00591138" w:rsidRDefault="00591138" w:rsidP="00211071">
      <w:pPr>
        <w:ind w:left="284" w:hanging="284"/>
      </w:pPr>
      <w:r>
        <w:t>3.</w:t>
      </w:r>
      <w:r w:rsidR="00211071">
        <w:tab/>
      </w:r>
      <w:r>
        <w:t>Potrà integrare le conoscenze e gestire la complessità, formulando giudizi sulla base di informazioni limitate o incomplete.</w:t>
      </w:r>
    </w:p>
    <w:p w14:paraId="0D67628B" w14:textId="7561BF5E" w:rsidR="00591138" w:rsidRDefault="00591138" w:rsidP="00211071">
      <w:pPr>
        <w:ind w:left="284" w:hanging="284"/>
      </w:pPr>
      <w:r>
        <w:t>4.</w:t>
      </w:r>
      <w:r w:rsidR="00211071">
        <w:tab/>
      </w:r>
      <w:r>
        <w:t>Potrà comunicare in modo chiaro e privo di ambiguità le proprie conclusioni.</w:t>
      </w:r>
    </w:p>
    <w:p w14:paraId="523C1A67" w14:textId="4CDD901E" w:rsidR="00591138" w:rsidRDefault="00591138" w:rsidP="00211071">
      <w:pPr>
        <w:ind w:left="284" w:hanging="284"/>
      </w:pPr>
      <w:r>
        <w:t>5.</w:t>
      </w:r>
      <w:r w:rsidR="00211071">
        <w:tab/>
      </w:r>
      <w:r>
        <w:t>Potrà avanzare nell’analisi del Diritto Tributario e nelle tecniche professionali.</w:t>
      </w:r>
    </w:p>
    <w:p w14:paraId="4C9AB84D" w14:textId="77777777" w:rsidR="00591138" w:rsidRDefault="00591138" w:rsidP="00591138">
      <w:pPr>
        <w:spacing w:before="240" w:after="120" w:line="240" w:lineRule="exact"/>
        <w:rPr>
          <w:b/>
          <w:i/>
          <w:sz w:val="18"/>
        </w:rPr>
      </w:pPr>
      <w:r>
        <w:rPr>
          <w:b/>
          <w:i/>
          <w:sz w:val="18"/>
        </w:rPr>
        <w:t>PROGRAMMA DEL CORSO</w:t>
      </w:r>
    </w:p>
    <w:p w14:paraId="2BC7B86A" w14:textId="43B59668"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Introduzione.</w:t>
      </w:r>
    </w:p>
    <w:p w14:paraId="27FA97F2" w14:textId="5260261F"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Cenni sulle imposte sui redditi in Italia. Le imposte dirette e indirette.</w:t>
      </w:r>
    </w:p>
    <w:p w14:paraId="53A3E5CC" w14:textId="0BA0FDD4"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redditi d’impresa.</w:t>
      </w:r>
    </w:p>
    <w:p w14:paraId="51B39681" w14:textId="556ED79D"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L’imposta sul reddito delle società (IRES).</w:t>
      </w:r>
    </w:p>
    <w:p w14:paraId="71A1B312" w14:textId="317DB9FE"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persone fisiche e le attività aziendali</w:t>
      </w:r>
    </w:p>
    <w:p w14:paraId="635F9C11" w14:textId="3FA2ECB1"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lastRenderedPageBreak/>
        <w:t>–</w:t>
      </w:r>
      <w:r w:rsidR="003301F6">
        <w:rPr>
          <w:color w:val="000000"/>
          <w:sz w:val="20"/>
          <w:szCs w:val="20"/>
        </w:rPr>
        <w:tab/>
      </w:r>
      <w:r w:rsidRPr="00591138">
        <w:rPr>
          <w:color w:val="000000"/>
          <w:sz w:val="20"/>
          <w:szCs w:val="20"/>
        </w:rPr>
        <w:t>La interposizione di holding di famiglia.</w:t>
      </w:r>
    </w:p>
    <w:p w14:paraId="65F332FB" w14:textId="213DBFFB"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persone giuridiche e le attività aziendali.</w:t>
      </w:r>
    </w:p>
    <w:p w14:paraId="3DF7BC39" w14:textId="26521A7B"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Come finanziare le attività aziendali. Capitale sociale e finanziamenti.</w:t>
      </w:r>
    </w:p>
    <w:p w14:paraId="63FCA5E8" w14:textId="3044617A"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La tassazione di dividendi, interessi e capital gain per persone giuridiche.</w:t>
      </w:r>
    </w:p>
    <w:p w14:paraId="6E758EE5" w14:textId="5595EFBD"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agevolazioni oggi presenti nel sistema tributario italiano.</w:t>
      </w:r>
    </w:p>
    <w:p w14:paraId="2EF7CA53" w14:textId="49C5EED0"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gruppi nazionali e internazionali; problematiche connesse al consolidato di gruppo.</w:t>
      </w:r>
    </w:p>
    <w:p w14:paraId="7319919D" w14:textId="1FFC06DA"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La residenza e le società CFC – I trust</w:t>
      </w:r>
    </w:p>
    <w:p w14:paraId="36F42E78" w14:textId="6308F8EC"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convenzioni internazionali e le Direttive UE.</w:t>
      </w:r>
    </w:p>
    <w:p w14:paraId="50A783F0" w14:textId="117CD7D4"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Modalità di esercizio dell’attività aziendale: i concetti di controllate e stabile organizzazione in Italia e all’estero.</w:t>
      </w:r>
    </w:p>
    <w:p w14:paraId="457D7FEE" w14:textId="663B3363"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prezzi di trasferimento. L’analisi funzionale e riflessioni sulla determinazione delle metodologie per la remunerazione delle singole entità appartenenti al gruppo.</w:t>
      </w:r>
    </w:p>
    <w:p w14:paraId="7AA19CF5" w14:textId="197B2A4D"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L’Iva nelle operazioni internazionali</w:t>
      </w:r>
    </w:p>
    <w:p w14:paraId="250F587E" w14:textId="512BF666"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L’intangibile, il goodwill e il know-how nelle recenti disposizioni internazionali</w:t>
      </w:r>
    </w:p>
    <w:p w14:paraId="58C2AC6B" w14:textId="5B2E2785"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BEPS e la fiscalità internazionale del futuro.</w:t>
      </w:r>
    </w:p>
    <w:p w14:paraId="3F5D6C1F" w14:textId="41780C60" w:rsidR="00591138" w:rsidRPr="00591138" w:rsidRDefault="003301F6" w:rsidP="003301F6">
      <w:pPr>
        <w:pStyle w:val="NormaleWeb"/>
        <w:spacing w:before="0" w:beforeAutospacing="0" w:after="0" w:afterAutospacing="0" w:line="240" w:lineRule="exact"/>
        <w:ind w:left="284" w:hanging="284"/>
        <w:jc w:val="both"/>
        <w:rPr>
          <w:color w:val="000000"/>
          <w:sz w:val="20"/>
          <w:szCs w:val="20"/>
        </w:rPr>
      </w:pPr>
      <w:r>
        <w:rPr>
          <w:color w:val="000000"/>
          <w:sz w:val="20"/>
          <w:szCs w:val="20"/>
        </w:rPr>
        <w:t>–</w:t>
      </w:r>
      <w:r>
        <w:rPr>
          <w:color w:val="000000"/>
          <w:sz w:val="20"/>
          <w:szCs w:val="20"/>
        </w:rPr>
        <w:tab/>
      </w:r>
      <w:r w:rsidR="00591138" w:rsidRPr="00591138">
        <w:rPr>
          <w:color w:val="000000"/>
          <w:sz w:val="20"/>
          <w:szCs w:val="20"/>
        </w:rPr>
        <w:t>La digital economy</w:t>
      </w:r>
    </w:p>
    <w:p w14:paraId="7E09C6A3" w14:textId="7D8519F5"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operazioni straordinarie e la relativa fiscalità.</w:t>
      </w:r>
    </w:p>
    <w:p w14:paraId="58165233" w14:textId="52CB7B74" w:rsidR="00591138" w:rsidRPr="00591138" w:rsidRDefault="00591138" w:rsidP="003301F6">
      <w:pPr>
        <w:pStyle w:val="NormaleWeb"/>
        <w:spacing w:before="0" w:beforeAutospacing="0" w:after="0" w:afterAutospacing="0" w:line="240" w:lineRule="exact"/>
        <w:ind w:left="284" w:hanging="284"/>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Le operazioni di fusione, scissione, trasformazione, cessione di azienda e conferimento di azienda.</w:t>
      </w:r>
    </w:p>
    <w:p w14:paraId="6B5C5973" w14:textId="7162FDC9" w:rsidR="00591138" w:rsidRPr="00591138" w:rsidRDefault="00591138" w:rsidP="00591138">
      <w:pPr>
        <w:pStyle w:val="NormaleWeb"/>
        <w:spacing w:before="0" w:beforeAutospacing="0" w:after="0" w:afterAutospacing="0" w:line="240" w:lineRule="exact"/>
        <w:jc w:val="both"/>
        <w:rPr>
          <w:color w:val="000000"/>
          <w:sz w:val="20"/>
          <w:szCs w:val="20"/>
        </w:rPr>
      </w:pPr>
      <w:r w:rsidRPr="00591138">
        <w:rPr>
          <w:color w:val="000000"/>
          <w:sz w:val="20"/>
          <w:szCs w:val="20"/>
        </w:rPr>
        <w:t>–</w:t>
      </w:r>
      <w:r w:rsidR="003301F6">
        <w:rPr>
          <w:color w:val="000000"/>
          <w:sz w:val="20"/>
          <w:szCs w:val="20"/>
        </w:rPr>
        <w:tab/>
      </w:r>
      <w:r w:rsidRPr="00591138">
        <w:rPr>
          <w:color w:val="000000"/>
          <w:sz w:val="20"/>
          <w:szCs w:val="20"/>
        </w:rPr>
        <w:t>I principi di neutralità fiscale e continuità.</w:t>
      </w:r>
    </w:p>
    <w:p w14:paraId="2D0E0504" w14:textId="3BF32F2F" w:rsidR="00591138" w:rsidRPr="00B81326" w:rsidRDefault="00591138" w:rsidP="00591138">
      <w:pPr>
        <w:spacing w:before="240" w:after="120" w:line="220" w:lineRule="exact"/>
        <w:rPr>
          <w:b/>
          <w:i/>
          <w:sz w:val="18"/>
        </w:rPr>
      </w:pPr>
      <w:r>
        <w:rPr>
          <w:b/>
          <w:i/>
          <w:sz w:val="18"/>
        </w:rPr>
        <w:t>BIBLIOGRAFIA</w:t>
      </w:r>
      <w:r w:rsidR="00732D08">
        <w:rPr>
          <w:rStyle w:val="Rimandonotaapidipagina"/>
          <w:b/>
          <w:i/>
          <w:sz w:val="18"/>
        </w:rPr>
        <w:footnoteReference w:id="1"/>
      </w:r>
    </w:p>
    <w:p w14:paraId="59F888A7" w14:textId="77777777" w:rsidR="00211071" w:rsidRDefault="00211071" w:rsidP="00211071">
      <w:pPr>
        <w:pStyle w:val="Testo1"/>
      </w:pPr>
      <w:r>
        <w:t>Si raccomanda la seguente bibliografia:</w:t>
      </w:r>
    </w:p>
    <w:p w14:paraId="2E9F6282" w14:textId="55A3B717" w:rsidR="00211071" w:rsidRDefault="00211071" w:rsidP="00211071">
      <w:pPr>
        <w:pStyle w:val="Testo1"/>
        <w:spacing w:before="0"/>
      </w:pPr>
      <w:r>
        <w:t>F. TESAURO, Compendio di diritto tributario, Utet.</w:t>
      </w:r>
      <w:r w:rsidR="00732D08">
        <w:t xml:space="preserve"> </w:t>
      </w:r>
      <w:bookmarkStart w:id="2" w:name="_Hlk138680461"/>
      <w:r w:rsidR="00732D08">
        <w:rPr>
          <w:rFonts w:ascii="Times New Roman" w:hAnsi="Times New Roman"/>
          <w:i/>
          <w:color w:val="0070C0"/>
          <w:szCs w:val="18"/>
        </w:rPr>
        <w:fldChar w:fldCharType="begin"/>
      </w:r>
      <w:r w:rsidR="00732D08">
        <w:rPr>
          <w:rFonts w:ascii="Times New Roman" w:hAnsi="Times New Roman"/>
          <w:i/>
          <w:color w:val="0070C0"/>
          <w:szCs w:val="18"/>
        </w:rPr>
        <w:instrText>HYPERLINK "https://librerie.unicatt.it/scheda-libro/francesco-tesauro/compendio-di-diritto-tributario-9788859822394-686276.html"</w:instrText>
      </w:r>
      <w:r w:rsidR="00732D08">
        <w:rPr>
          <w:rFonts w:ascii="Times New Roman" w:hAnsi="Times New Roman"/>
          <w:i/>
          <w:color w:val="0070C0"/>
          <w:szCs w:val="18"/>
        </w:rPr>
      </w:r>
      <w:r w:rsidR="00732D08">
        <w:rPr>
          <w:rFonts w:ascii="Times New Roman" w:hAnsi="Times New Roman"/>
          <w:i/>
          <w:color w:val="0070C0"/>
          <w:szCs w:val="18"/>
        </w:rPr>
        <w:fldChar w:fldCharType="separate"/>
      </w:r>
      <w:r w:rsidR="00732D08" w:rsidRPr="00732D08">
        <w:rPr>
          <w:rStyle w:val="Collegamentoipertestuale"/>
          <w:rFonts w:ascii="Times New Roman" w:hAnsi="Times New Roman"/>
          <w:i/>
          <w:szCs w:val="18"/>
        </w:rPr>
        <w:t>Acquista da VP</w:t>
      </w:r>
      <w:bookmarkEnd w:id="2"/>
      <w:r w:rsidR="00732D08">
        <w:rPr>
          <w:rFonts w:ascii="Times New Roman" w:hAnsi="Times New Roman"/>
          <w:i/>
          <w:color w:val="0070C0"/>
          <w:szCs w:val="18"/>
        </w:rPr>
        <w:fldChar w:fldCharType="end"/>
      </w:r>
    </w:p>
    <w:p w14:paraId="3392E806" w14:textId="77777777" w:rsidR="00211071" w:rsidRDefault="00211071" w:rsidP="00211071">
      <w:pPr>
        <w:pStyle w:val="Testo1"/>
      </w:pPr>
      <w:r>
        <w:t>Inoltre, durante il corso, in funzione dei casi pratici trattati, saranno segnalati articoli di riviste che aiuteranno lo studente nella comprensione dei fenomeni fiscali.</w:t>
      </w:r>
    </w:p>
    <w:p w14:paraId="25DBFD02" w14:textId="77777777" w:rsidR="00211071" w:rsidRDefault="00211071" w:rsidP="00211071">
      <w:pPr>
        <w:pStyle w:val="Testo1"/>
      </w:pPr>
      <w:r>
        <w:t>Infine, verrà messa a disposizione degli studenti una dispensa del contenuto del corso.</w:t>
      </w:r>
    </w:p>
    <w:p w14:paraId="3534E66A" w14:textId="77777777" w:rsidR="00211071" w:rsidRDefault="00211071" w:rsidP="00211071">
      <w:pPr>
        <w:spacing w:before="240" w:after="120" w:line="220" w:lineRule="exact"/>
        <w:rPr>
          <w:b/>
          <w:i/>
          <w:sz w:val="18"/>
        </w:rPr>
      </w:pPr>
      <w:r>
        <w:rPr>
          <w:b/>
          <w:i/>
          <w:sz w:val="18"/>
        </w:rPr>
        <w:t>DIDATTICA DEL CORSO</w:t>
      </w:r>
    </w:p>
    <w:p w14:paraId="65B05A32" w14:textId="77777777" w:rsidR="00211071" w:rsidRDefault="00211071" w:rsidP="00211071">
      <w:pPr>
        <w:pStyle w:val="Testo2"/>
      </w:pPr>
      <w:r>
        <w:t>Il corso si svilupperà mediante lezioni ed esercitazioni.</w:t>
      </w:r>
    </w:p>
    <w:p w14:paraId="3A864709" w14:textId="77777777" w:rsidR="00211071" w:rsidRDefault="00211071" w:rsidP="00211071">
      <w:pPr>
        <w:spacing w:before="240" w:after="120" w:line="220" w:lineRule="exact"/>
        <w:rPr>
          <w:b/>
          <w:i/>
          <w:sz w:val="18"/>
        </w:rPr>
      </w:pPr>
      <w:r>
        <w:rPr>
          <w:b/>
          <w:i/>
          <w:sz w:val="18"/>
        </w:rPr>
        <w:t>METODO E CRITERI DI VALUTAZIONE</w:t>
      </w:r>
    </w:p>
    <w:p w14:paraId="27CFC4DE" w14:textId="77777777" w:rsidR="00211071" w:rsidRDefault="00211071" w:rsidP="00211071">
      <w:pPr>
        <w:pStyle w:val="Testo2"/>
      </w:pPr>
      <w:r>
        <w:t xml:space="preserve">L’esame finale mira a valutare la preparazione dello studente in relazione agli obiettivi didattici. La verifica dell’apprendimento è fondata su di un esame finale orale che si svolge </w:t>
      </w:r>
      <w:r>
        <w:lastRenderedPageBreak/>
        <w:t>sulla base di due domande, di cui una sui temi trattati nel corso e l’altra di approfondimento degli aspetti particolari delle scelte fiscali. Attraverso le domande si accerterà il livello di conoscenza complessiva acquisita dal candidato/a e la sua capacità di affrontare criticamente gli argomenti studiati.</w:t>
      </w:r>
    </w:p>
    <w:p w14:paraId="68C0350A" w14:textId="77777777" w:rsidR="00211071" w:rsidRDefault="00211071" w:rsidP="00211071">
      <w:pPr>
        <w:pStyle w:val="Testo2"/>
      </w:pPr>
      <w:r>
        <w:t>Alla formulazione del voto concorrono in misura eguale la padronanza tematica e linguistica dimostrata nello svolgimento degli argomenti, l’approccio critico alla materia studiata e la capacità di collegare i diversi ambiti e temi oggetto delle rispettive domande d’esame.</w:t>
      </w:r>
    </w:p>
    <w:p w14:paraId="30BFA9E9" w14:textId="77777777" w:rsidR="00211071" w:rsidRDefault="00211071" w:rsidP="00211071">
      <w:pPr>
        <w:pStyle w:val="Testo2"/>
      </w:pPr>
      <w:r>
        <w:t>Nello specifico, la prova di esame, solo orale ed unica su tutto il programma, consiste nella formulazione di due domande sul programma illustrato in aula e in base ai testi bibliografici sopra indicati per lo studio personale, e il voto finale risulta dalla media tra i risultati della valutazione delle rispettive risposte.</w:t>
      </w:r>
    </w:p>
    <w:p w14:paraId="43E60AFD" w14:textId="77777777" w:rsidR="00211071" w:rsidRDefault="00211071" w:rsidP="00211071">
      <w:pPr>
        <w:pStyle w:val="Testo2"/>
      </w:pPr>
      <w:r>
        <w:t>I criteri per l’attribuzione del voto finale sono i seguenti.</w:t>
      </w:r>
    </w:p>
    <w:p w14:paraId="6B40605A" w14:textId="77777777" w:rsidR="00211071" w:rsidRDefault="00211071" w:rsidP="00211071">
      <w:pPr>
        <w:pStyle w:val="Testo2"/>
      </w:pPr>
      <w:r>
        <w:t>– La consapevolezza ampia dei temi, la capacità di applicare criticamente le conoscenze e la proprietà linguistica ed espressiva specifica condurranno a voti di eccellenza, con eventuale attribuzione della lode nei soli casi in cui il candidato/a dimostri una preparazione straordinaria.</w:t>
      </w:r>
    </w:p>
    <w:p w14:paraId="1FBD51BC" w14:textId="77777777" w:rsidR="00211071" w:rsidRDefault="00211071" w:rsidP="00211071">
      <w:pPr>
        <w:pStyle w:val="Testo2"/>
      </w:pPr>
      <w:r>
        <w:t>– Una capacità di analisi e sintesi non del tutto articolate e/o l’utilizzo di un linguaggio non del tutto appropriato porteranno a valutazioni discrete/buone, con differenziazione del voto a seconda del livello di preparazione dimostrato nell’esame.</w:t>
      </w:r>
    </w:p>
    <w:p w14:paraId="3CF568A5" w14:textId="77777777" w:rsidR="00211071" w:rsidRDefault="00211071" w:rsidP="00211071">
      <w:pPr>
        <w:pStyle w:val="Testo2"/>
      </w:pPr>
      <w:r>
        <w:t>– La presenza di lacune formative o l’utilizzo di un linguaggio inappropriato, anche se non del tutto scorretto, nell’ambito di conoscenze di tipo basilare del programma condurranno ad una valutazione di sufficienza.</w:t>
      </w:r>
    </w:p>
    <w:p w14:paraId="2DBC697E" w14:textId="77777777" w:rsidR="00211071" w:rsidRDefault="00211071" w:rsidP="00211071">
      <w:pPr>
        <w:pStyle w:val="Testo2"/>
      </w:pPr>
      <w:r>
        <w:t>– L’emersione di lacune formative gravi e in ogni caso avere trascurato una parte del programma, l’utilizzo di un linguaggio scorretto o la mancanza di orientamento all’interno della bibliografia indicata saranno valutati negativamente.</w:t>
      </w:r>
    </w:p>
    <w:p w14:paraId="5AE41F2C" w14:textId="77777777" w:rsidR="00211071" w:rsidRDefault="00211071" w:rsidP="00211071">
      <w:pPr>
        <w:spacing w:before="240" w:after="120" w:line="240" w:lineRule="exact"/>
        <w:rPr>
          <w:b/>
          <w:i/>
          <w:sz w:val="18"/>
        </w:rPr>
      </w:pPr>
      <w:r>
        <w:rPr>
          <w:b/>
          <w:i/>
          <w:sz w:val="18"/>
        </w:rPr>
        <w:t>AVVERTENZE E PREREQUISITI</w:t>
      </w:r>
    </w:p>
    <w:p w14:paraId="52AB65C9" w14:textId="77777777" w:rsidR="00211071" w:rsidRDefault="00211071" w:rsidP="00211071">
      <w:pPr>
        <w:pStyle w:val="Testo2"/>
      </w:pPr>
      <w:r>
        <w:t>Prerequisito per la partecipazione al corso è l’aver sostenuto l’esame di Diritto tributario; il corso, infatti, si pone come l’evoluzione pratica ed applicata alla fiscalità d’impresa delle conoscenze acquisite nel corso di Diritto tributario, considerando anche la variabile fiscale nella gestione aziendale.</w:t>
      </w:r>
    </w:p>
    <w:sectPr w:rsidR="002110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1249" w14:textId="77777777" w:rsidR="00591138" w:rsidRDefault="00591138" w:rsidP="00591138">
      <w:r>
        <w:separator/>
      </w:r>
    </w:p>
  </w:endnote>
  <w:endnote w:type="continuationSeparator" w:id="0">
    <w:p w14:paraId="57C148AD" w14:textId="77777777" w:rsidR="00591138" w:rsidRDefault="00591138" w:rsidP="0059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25C8" w14:textId="77777777" w:rsidR="00591138" w:rsidRDefault="00591138" w:rsidP="00591138">
      <w:r>
        <w:separator/>
      </w:r>
    </w:p>
  </w:footnote>
  <w:footnote w:type="continuationSeparator" w:id="0">
    <w:p w14:paraId="5FC2D13A" w14:textId="77777777" w:rsidR="00591138" w:rsidRDefault="00591138" w:rsidP="00591138">
      <w:r>
        <w:continuationSeparator/>
      </w:r>
    </w:p>
  </w:footnote>
  <w:footnote w:id="1">
    <w:p w14:paraId="7B65F4D6" w14:textId="52C9E9AD" w:rsidR="00732D08" w:rsidRDefault="00732D08">
      <w:pPr>
        <w:pStyle w:val="Testonotaapidipagina"/>
      </w:pPr>
      <w:r>
        <w:rPr>
          <w:rStyle w:val="Rimandonotaapidipagina"/>
        </w:rPr>
        <w:footnoteRef/>
      </w:r>
      <w:r>
        <w:t xml:space="preserve"> </w:t>
      </w:r>
      <w:bookmarkStart w:id="0" w:name="_Hlk138680532"/>
      <w:bookmarkStart w:id="1" w:name="_Hlk138680726"/>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C4"/>
    <w:rsid w:val="00186970"/>
    <w:rsid w:val="00187B99"/>
    <w:rsid w:val="002014DD"/>
    <w:rsid w:val="00211071"/>
    <w:rsid w:val="002D5E17"/>
    <w:rsid w:val="003301F6"/>
    <w:rsid w:val="004D1217"/>
    <w:rsid w:val="004D6008"/>
    <w:rsid w:val="00591138"/>
    <w:rsid w:val="006324BA"/>
    <w:rsid w:val="00640794"/>
    <w:rsid w:val="006A7EC3"/>
    <w:rsid w:val="006F1772"/>
    <w:rsid w:val="00732D08"/>
    <w:rsid w:val="008942E7"/>
    <w:rsid w:val="008A1204"/>
    <w:rsid w:val="008C7EC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601E"/>
  <w15:chartTrackingRefBased/>
  <w15:docId w15:val="{19C81CBB-4029-4D04-A780-0EE8FA3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1138"/>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91138"/>
    <w:pPr>
      <w:spacing w:before="100" w:beforeAutospacing="1" w:after="100" w:afterAutospacing="1"/>
      <w:jc w:val="left"/>
    </w:pPr>
    <w:rPr>
      <w:sz w:val="24"/>
      <w:szCs w:val="24"/>
    </w:rPr>
  </w:style>
  <w:style w:type="paragraph" w:styleId="Testonotaapidipagina">
    <w:name w:val="footnote text"/>
    <w:basedOn w:val="Normale"/>
    <w:link w:val="TestonotaapidipaginaCarattere"/>
    <w:rsid w:val="00591138"/>
  </w:style>
  <w:style w:type="character" w:customStyle="1" w:styleId="TestonotaapidipaginaCarattere">
    <w:name w:val="Testo nota a piè di pagina Carattere"/>
    <w:basedOn w:val="Carpredefinitoparagrafo"/>
    <w:link w:val="Testonotaapidipagina"/>
    <w:rsid w:val="00591138"/>
  </w:style>
  <w:style w:type="character" w:styleId="Rimandonotaapidipagina">
    <w:name w:val="footnote reference"/>
    <w:rsid w:val="00591138"/>
    <w:rPr>
      <w:vertAlign w:val="superscript"/>
    </w:rPr>
  </w:style>
  <w:style w:type="character" w:styleId="Collegamentoipertestuale">
    <w:name w:val="Hyperlink"/>
    <w:basedOn w:val="Carpredefinitoparagrafo"/>
    <w:rsid w:val="00732D08"/>
    <w:rPr>
      <w:color w:val="0563C1" w:themeColor="hyperlink"/>
      <w:u w:val="single"/>
    </w:rPr>
  </w:style>
  <w:style w:type="character" w:styleId="Menzionenonrisolta">
    <w:name w:val="Unresolved Mention"/>
    <w:basedOn w:val="Carpredefinitoparagrafo"/>
    <w:uiPriority w:val="99"/>
    <w:semiHidden/>
    <w:unhideWhenUsed/>
    <w:rsid w:val="00732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898</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2023-05-22T06:45:00Z</dcterms:created>
  <dcterms:modified xsi:type="dcterms:W3CDTF">2023-06-26T12:31:00Z</dcterms:modified>
</cp:coreProperties>
</file>