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4143C" w14:textId="77777777" w:rsidR="009D7E11" w:rsidRPr="00EC70D1" w:rsidRDefault="00F06DCE" w:rsidP="00EC70D1">
      <w:pPr>
        <w:pStyle w:val="Titolo1"/>
      </w:pPr>
      <w:r w:rsidRPr="00EC70D1">
        <w:t>F</w:t>
      </w:r>
      <w:r w:rsidR="00395FB9" w:rsidRPr="00EC70D1">
        <w:t xml:space="preserve">inanza sostenibile </w:t>
      </w:r>
    </w:p>
    <w:p w14:paraId="64C90CCC" w14:textId="7570C8E5" w:rsidR="009D7E11" w:rsidRPr="00EC70D1" w:rsidRDefault="009D7E11" w:rsidP="00EC70D1">
      <w:pPr>
        <w:pStyle w:val="Titolo2"/>
      </w:pPr>
      <w:r w:rsidRPr="00EC70D1">
        <w:t>Prof. Alfonso Del Giudice</w:t>
      </w:r>
      <w:r w:rsidR="00885CC1" w:rsidRPr="00EC70D1">
        <w:t>; Prof. Andrea Signori</w:t>
      </w:r>
    </w:p>
    <w:p w14:paraId="0FFCE77F" w14:textId="77777777" w:rsidR="005F2691" w:rsidRPr="00F83432" w:rsidRDefault="005F2691" w:rsidP="005F2691">
      <w:pPr>
        <w:spacing w:before="240" w:after="120" w:line="240" w:lineRule="exact"/>
        <w:rPr>
          <w:b/>
          <w:sz w:val="18"/>
          <w:szCs w:val="18"/>
        </w:rPr>
      </w:pPr>
      <w:r w:rsidRPr="00F83432">
        <w:rPr>
          <w:b/>
          <w:i/>
          <w:sz w:val="18"/>
          <w:szCs w:val="18"/>
        </w:rPr>
        <w:t>OBIETTIVO DEL CORSO E RISULTATI DI APPRENDIMENTO ATTESI</w:t>
      </w:r>
    </w:p>
    <w:p w14:paraId="7449B080" w14:textId="77777777" w:rsidR="005F2691" w:rsidRPr="00EC70D1" w:rsidRDefault="005F2691" w:rsidP="005F2691">
      <w:pPr>
        <w:spacing w:line="240" w:lineRule="exact"/>
      </w:pPr>
      <w:r w:rsidRPr="00EC70D1">
        <w:t>Obiettivo del corso è fornire agli studenti approfondimenti specifici sul tema dell’inclusione delle valutazioni non finanziarie nei tradizionali modelli di investimento, consigliati nella costruzione di profili professionali coinvolti direttamente o indirettamente – in qualità di consulenti – sia nella gestione finanziaria d’impresa sia nell’operatività di intermediari finanziari. Al termine del corso gli studenti devono aver:</w:t>
      </w:r>
    </w:p>
    <w:p w14:paraId="4A0515A3" w14:textId="77777777" w:rsidR="005F2691" w:rsidRPr="00EC70D1" w:rsidRDefault="005F2691" w:rsidP="005F2691">
      <w:pPr>
        <w:spacing w:line="240" w:lineRule="exact"/>
        <w:ind w:left="284" w:hanging="284"/>
      </w:pPr>
      <w:r w:rsidRPr="00EC70D1">
        <w:t>1.</w:t>
      </w:r>
      <w:r w:rsidRPr="00EC70D1">
        <w:tab/>
        <w:t>Aver acquisito la conoscenza e la comprensione dei concetti-base della materia, utilizzabili per interpretare le valutazioni della sostenibilità in finanza.</w:t>
      </w:r>
    </w:p>
    <w:p w14:paraId="401BE0DC" w14:textId="77777777" w:rsidR="005F2691" w:rsidRPr="00EC70D1" w:rsidRDefault="005F2691" w:rsidP="005F2691">
      <w:pPr>
        <w:spacing w:line="240" w:lineRule="exact"/>
        <w:ind w:left="284" w:hanging="284"/>
      </w:pPr>
      <w:r w:rsidRPr="00EC70D1">
        <w:t>2.</w:t>
      </w:r>
      <w:r w:rsidRPr="00EC70D1">
        <w:tab/>
        <w:t>Aver assimilato la capacità di applicare tali conoscenze al fine di realizzare, in un contesto semplificato, i passaggi fondamentali di valutazione degli investimenti sostenibili.</w:t>
      </w:r>
    </w:p>
    <w:p w14:paraId="088E3F2D" w14:textId="77777777" w:rsidR="005F2691" w:rsidRPr="00EC70D1" w:rsidRDefault="005F2691" w:rsidP="005F2691">
      <w:pPr>
        <w:spacing w:line="240" w:lineRule="exact"/>
        <w:ind w:left="284" w:hanging="284"/>
      </w:pPr>
      <w:r w:rsidRPr="00EC70D1">
        <w:t>3.</w:t>
      </w:r>
      <w:r w:rsidRPr="00EC70D1">
        <w:tab/>
        <w:t>Avere acquisito le competenze utili a raccogliere e interpretare i dati ritenuti utili come fondamento delle decisioni investimento responsabile e a determinare giudizi autonomi in tale ambito.</w:t>
      </w:r>
    </w:p>
    <w:p w14:paraId="541A605D" w14:textId="77777777" w:rsidR="005F2691" w:rsidRPr="00EC70D1" w:rsidRDefault="005F2691" w:rsidP="005F2691">
      <w:pPr>
        <w:spacing w:line="240" w:lineRule="exact"/>
        <w:ind w:left="284" w:hanging="284"/>
      </w:pPr>
      <w:r w:rsidRPr="00EC70D1">
        <w:t>4.</w:t>
      </w:r>
      <w:r w:rsidRPr="00EC70D1">
        <w:tab/>
        <w:t>Avere imparato un linguaggio tecnico che consenta loro di comunicare con chiarezza ed efficacia le conoscenze conseguite.</w:t>
      </w:r>
    </w:p>
    <w:p w14:paraId="12EFA069" w14:textId="77777777" w:rsidR="005F2691" w:rsidRPr="00EC70D1" w:rsidRDefault="005F2691" w:rsidP="005F2691">
      <w:pPr>
        <w:spacing w:line="240" w:lineRule="exact"/>
        <w:ind w:left="284" w:hanging="284"/>
      </w:pPr>
      <w:r w:rsidRPr="00EC70D1">
        <w:t>5.</w:t>
      </w:r>
      <w:r w:rsidRPr="00EC70D1">
        <w:tab/>
        <w:t>Avere sviluppato capacità di apprendimento necessarie per svolgere ulteriori approfondimenti sia in altri corsi di laurea magistrale sia in contesti professionali con un alto grado di autonomia.</w:t>
      </w:r>
    </w:p>
    <w:p w14:paraId="0DE9A0B5" w14:textId="77777777" w:rsidR="005F2691" w:rsidRPr="00F83432" w:rsidRDefault="005F2691" w:rsidP="005F2691">
      <w:pPr>
        <w:spacing w:before="240" w:after="120" w:line="240" w:lineRule="exact"/>
        <w:rPr>
          <w:b/>
          <w:sz w:val="18"/>
          <w:szCs w:val="18"/>
        </w:rPr>
      </w:pPr>
      <w:r w:rsidRPr="00F83432">
        <w:rPr>
          <w:b/>
          <w:i/>
          <w:sz w:val="18"/>
          <w:szCs w:val="18"/>
        </w:rPr>
        <w:t>PROGRAMMA DEL CORSO</w:t>
      </w:r>
    </w:p>
    <w:p w14:paraId="56C6FAF2" w14:textId="77777777" w:rsidR="005F2691" w:rsidRPr="00EC70D1" w:rsidRDefault="005F2691" w:rsidP="005F2691">
      <w:pPr>
        <w:spacing w:line="240" w:lineRule="exact"/>
      </w:pPr>
      <w:r w:rsidRPr="00EC70D1">
        <w:t>Il programma del corso affronta una serie di temi rilevanti per la finanza sostenibile.</w:t>
      </w:r>
    </w:p>
    <w:p w14:paraId="0FE02F09" w14:textId="77777777" w:rsidR="00F83432" w:rsidRPr="00EC70D1" w:rsidRDefault="005F2691" w:rsidP="00F83432">
      <w:pPr>
        <w:pStyle w:val="Paragrafoelenco"/>
        <w:numPr>
          <w:ilvl w:val="0"/>
          <w:numId w:val="2"/>
        </w:numPr>
        <w:spacing w:before="120" w:line="240" w:lineRule="exact"/>
      </w:pPr>
      <w:r w:rsidRPr="00EC70D1">
        <w:rPr>
          <w:i/>
        </w:rPr>
        <w:t>Definizione di finanza sostenibile, strategie e mercato</w:t>
      </w:r>
      <w:r w:rsidRPr="00EC70D1">
        <w:t>. Definizione di finanza sostenibile, inquadramento storico ed evoluzione delle principali strategie. Gli investimenti responsabili. La finanza tematica e ad impatto. Investitori istituzionali ed attivismo sociale.</w:t>
      </w:r>
    </w:p>
    <w:p w14:paraId="1EA92DC2" w14:textId="77777777" w:rsidR="00F83432" w:rsidRPr="00EC70D1" w:rsidRDefault="005F2691" w:rsidP="00F83432">
      <w:pPr>
        <w:pStyle w:val="Paragrafoelenco"/>
        <w:numPr>
          <w:ilvl w:val="0"/>
          <w:numId w:val="2"/>
        </w:numPr>
        <w:spacing w:before="120" w:line="240" w:lineRule="exact"/>
      </w:pPr>
      <w:r w:rsidRPr="00EC70D1">
        <w:rPr>
          <w:i/>
        </w:rPr>
        <w:t>Gli investimenti responsabili</w:t>
      </w:r>
      <w:r w:rsidRPr="00EC70D1">
        <w:t xml:space="preserve">. I rating non finanziari (ESG) e le principali metodologie utilizzate dagli analisti. Limiti dell’analisi non finanziaria ed evoluzione del mercato delle società di rating non finanziario. Rating ESG e </w:t>
      </w:r>
      <w:r w:rsidRPr="00EC70D1">
        <w:rPr>
          <w:i/>
        </w:rPr>
        <w:t>pricing</w:t>
      </w:r>
      <w:r w:rsidRPr="00EC70D1">
        <w:t xml:space="preserve"> dei titoli quotati: estensione dei modelli fattoriali all’analisi non finanziaria. La sostenibilità e il valore dell’impresa: flussi e tassi dell’impresa sostenibile. Fondi d’investimento ESG: rating, rischio e performance. </w:t>
      </w:r>
      <w:r w:rsidRPr="00EC70D1">
        <w:rPr>
          <w:i/>
        </w:rPr>
        <w:t>Asset allocation</w:t>
      </w:r>
      <w:r w:rsidRPr="00EC70D1">
        <w:t xml:space="preserve"> sostenibile.</w:t>
      </w:r>
    </w:p>
    <w:p w14:paraId="7EB727DB" w14:textId="3B4FE4DD" w:rsidR="00F83432" w:rsidRPr="00EC70D1" w:rsidRDefault="00F83432" w:rsidP="00F83432">
      <w:pPr>
        <w:pStyle w:val="Paragrafoelenco"/>
        <w:numPr>
          <w:ilvl w:val="0"/>
          <w:numId w:val="2"/>
        </w:numPr>
        <w:spacing w:before="120" w:line="240" w:lineRule="exact"/>
      </w:pPr>
      <w:r w:rsidRPr="00EC70D1">
        <w:rPr>
          <w:i/>
          <w:iCs/>
        </w:rPr>
        <w:lastRenderedPageBreak/>
        <w:t>Sostenibilità e asset pricing.</w:t>
      </w:r>
      <w:r w:rsidRPr="00EC70D1">
        <w:t xml:space="preserve"> Implicazioni della sostenibilità sui principali modelli di asset pricing. Introduzione alla </w:t>
      </w:r>
      <w:r w:rsidRPr="00EC70D1">
        <w:rPr>
          <w:i/>
          <w:iCs/>
        </w:rPr>
        <w:t>climate finance</w:t>
      </w:r>
      <w:r w:rsidRPr="00EC70D1">
        <w:t xml:space="preserve">. Sostenibilità e </w:t>
      </w:r>
      <w:r w:rsidRPr="00EC70D1">
        <w:rPr>
          <w:i/>
          <w:iCs/>
        </w:rPr>
        <w:t>Capital Asset Pricing Model</w:t>
      </w:r>
      <w:r w:rsidRPr="00EC70D1">
        <w:t xml:space="preserve">. Sostenibilità e </w:t>
      </w:r>
      <w:r w:rsidRPr="00EC70D1">
        <w:rPr>
          <w:i/>
          <w:iCs/>
        </w:rPr>
        <w:t>Arbitrage Pricing Theory</w:t>
      </w:r>
      <w:r w:rsidRPr="00EC70D1">
        <w:t xml:space="preserve">. Sostenibilità e </w:t>
      </w:r>
      <w:r w:rsidRPr="00EC70D1">
        <w:rPr>
          <w:i/>
          <w:iCs/>
        </w:rPr>
        <w:t>option pricing</w:t>
      </w:r>
      <w:r w:rsidRPr="00EC70D1">
        <w:t>. Evidenze empiriche.</w:t>
      </w:r>
    </w:p>
    <w:p w14:paraId="5446E1F1" w14:textId="77777777" w:rsidR="00F83432" w:rsidRPr="00EC70D1" w:rsidRDefault="005F2691" w:rsidP="00F83432">
      <w:pPr>
        <w:pStyle w:val="Paragrafoelenco"/>
        <w:numPr>
          <w:ilvl w:val="0"/>
          <w:numId w:val="2"/>
        </w:numPr>
        <w:spacing w:before="120" w:line="240" w:lineRule="exact"/>
      </w:pPr>
      <w:r w:rsidRPr="00EC70D1">
        <w:rPr>
          <w:i/>
        </w:rPr>
        <w:t>La finanza tematica e a impatto</w:t>
      </w:r>
      <w:r w:rsidRPr="00EC70D1">
        <w:t xml:space="preserve">. I </w:t>
      </w:r>
      <w:r w:rsidRPr="00EC70D1">
        <w:rPr>
          <w:i/>
        </w:rPr>
        <w:t>green bond</w:t>
      </w:r>
      <w:r w:rsidRPr="00EC70D1">
        <w:t xml:space="preserve">: caratteristiche dell’emissione, pricing e processo di certificazione. I </w:t>
      </w:r>
      <w:r w:rsidRPr="00EC70D1">
        <w:rPr>
          <w:i/>
        </w:rPr>
        <w:t>social bond</w:t>
      </w:r>
      <w:r w:rsidRPr="00EC70D1">
        <w:t xml:space="preserve">: definizione, caratteristiche dell’emissione e processo di certificazione. Fondi tematici: </w:t>
      </w:r>
      <w:r w:rsidRPr="00EC70D1">
        <w:rPr>
          <w:i/>
        </w:rPr>
        <w:t xml:space="preserve">green </w:t>
      </w:r>
      <w:r w:rsidRPr="00EC70D1">
        <w:t xml:space="preserve">La finanza a impatto: definizione, misurabilità dell’impatto socio – ambientale e connessione con il rendimento economico. I </w:t>
      </w:r>
      <w:r w:rsidRPr="00EC70D1">
        <w:rPr>
          <w:i/>
        </w:rPr>
        <w:t>social impact bond</w:t>
      </w:r>
      <w:r w:rsidRPr="00EC70D1">
        <w:t>: caratteristiche economico – finanziarie e costi di agenzia.</w:t>
      </w:r>
    </w:p>
    <w:p w14:paraId="3C3445DF" w14:textId="4B4940C7" w:rsidR="005F2691" w:rsidRPr="00EC70D1" w:rsidRDefault="005F2691" w:rsidP="00F83432">
      <w:pPr>
        <w:pStyle w:val="Paragrafoelenco"/>
        <w:numPr>
          <w:ilvl w:val="0"/>
          <w:numId w:val="2"/>
        </w:numPr>
        <w:spacing w:before="120" w:line="240" w:lineRule="exact"/>
      </w:pPr>
      <w:r w:rsidRPr="00EC70D1">
        <w:rPr>
          <w:i/>
        </w:rPr>
        <w:t>L’engagement degli investitori istituzionali</w:t>
      </w:r>
      <w:r w:rsidRPr="00EC70D1">
        <w:t xml:space="preserve">. Costi di agenzia e sostenibilità. L’attivismo non finanziario degli investitori istituzionali: </w:t>
      </w:r>
      <w:r w:rsidRPr="00EC70D1">
        <w:rPr>
          <w:i/>
        </w:rPr>
        <w:t xml:space="preserve">asset manager </w:t>
      </w:r>
      <w:r w:rsidRPr="00EC70D1">
        <w:t xml:space="preserve">e </w:t>
      </w:r>
      <w:r w:rsidRPr="00EC70D1">
        <w:rPr>
          <w:i/>
        </w:rPr>
        <w:t>beneficial owner</w:t>
      </w:r>
      <w:r w:rsidRPr="00EC70D1">
        <w:t>. Cenni all’assetto normativo: differenze tra il mercato europeo comunitario e quello statunitense. Efficacia dell’attivismo.</w:t>
      </w:r>
    </w:p>
    <w:p w14:paraId="3C6961FD" w14:textId="6BE27205" w:rsidR="005F2691" w:rsidRPr="00F83432" w:rsidRDefault="005F2691" w:rsidP="005F2691">
      <w:pPr>
        <w:spacing w:before="240" w:after="120" w:line="220" w:lineRule="exact"/>
        <w:rPr>
          <w:b/>
          <w:i/>
          <w:sz w:val="18"/>
          <w:szCs w:val="18"/>
        </w:rPr>
      </w:pPr>
      <w:r w:rsidRPr="00F83432">
        <w:rPr>
          <w:b/>
          <w:i/>
          <w:sz w:val="18"/>
          <w:szCs w:val="18"/>
        </w:rPr>
        <w:t>BIBLIOGRAFIA</w:t>
      </w:r>
      <w:r w:rsidR="003B4462">
        <w:rPr>
          <w:rStyle w:val="Rimandonotaapidipagina"/>
          <w:b/>
          <w:i/>
          <w:sz w:val="18"/>
          <w:szCs w:val="18"/>
        </w:rPr>
        <w:footnoteReference w:id="1"/>
      </w:r>
    </w:p>
    <w:p w14:paraId="31E108EB" w14:textId="4B755773" w:rsidR="005F2691" w:rsidRPr="00F83432" w:rsidRDefault="005F2691" w:rsidP="005F269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F83432">
        <w:rPr>
          <w:rFonts w:ascii="Times New Roman" w:hAnsi="Times New Roman"/>
          <w:smallCaps/>
          <w:spacing w:val="-5"/>
          <w:szCs w:val="18"/>
        </w:rPr>
        <w:t>DEL GIUDICE A.,</w:t>
      </w:r>
      <w:r w:rsidRPr="00F83432">
        <w:rPr>
          <w:rFonts w:ascii="Times New Roman" w:hAnsi="Times New Roman"/>
          <w:i/>
          <w:spacing w:val="-5"/>
          <w:szCs w:val="18"/>
        </w:rPr>
        <w:t xml:space="preserve"> La finanza sostenibile</w:t>
      </w:r>
      <w:r w:rsidRPr="00F83432">
        <w:rPr>
          <w:rFonts w:ascii="Times New Roman" w:hAnsi="Times New Roman"/>
          <w:spacing w:val="-5"/>
          <w:szCs w:val="18"/>
        </w:rPr>
        <w:t xml:space="preserve">, Giappichelli, </w:t>
      </w:r>
      <w:r w:rsidR="00EC555E" w:rsidRPr="00F83432">
        <w:rPr>
          <w:rFonts w:ascii="Times New Roman" w:hAnsi="Times New Roman"/>
          <w:spacing w:val="-5"/>
          <w:szCs w:val="18"/>
        </w:rPr>
        <w:t>2022</w:t>
      </w:r>
      <w:r w:rsidRPr="00F83432">
        <w:rPr>
          <w:rFonts w:ascii="Times New Roman" w:hAnsi="Times New Roman"/>
          <w:spacing w:val="-5"/>
          <w:szCs w:val="18"/>
        </w:rPr>
        <w:t xml:space="preserve"> (capitoli e paragrafi indicati a lezione). </w:t>
      </w:r>
      <w:r w:rsidR="003B4462">
        <w:rPr>
          <w:rFonts w:ascii="Times New Roman" w:hAnsi="Times New Roman"/>
          <w:spacing w:val="-5"/>
          <w:szCs w:val="18"/>
        </w:rPr>
        <w:t xml:space="preserve"> </w:t>
      </w:r>
      <w:hyperlink r:id="rId8" w:history="1">
        <w:r w:rsidR="003B4462" w:rsidRPr="003B4462">
          <w:rPr>
            <w:rStyle w:val="Collegamentoipertestuale"/>
            <w:rFonts w:ascii="Times New Roman" w:hAnsi="Times New Roman"/>
            <w:i/>
            <w:szCs w:val="18"/>
          </w:rPr>
          <w:t>Acquista da VP</w:t>
        </w:r>
      </w:hyperlink>
    </w:p>
    <w:p w14:paraId="6046F9B4" w14:textId="77777777" w:rsidR="005F2691" w:rsidRPr="00F83432" w:rsidRDefault="005F2691" w:rsidP="00DF041D">
      <w:pPr>
        <w:autoSpaceDE w:val="0"/>
        <w:autoSpaceDN w:val="0"/>
        <w:adjustRightInd w:val="0"/>
        <w:spacing w:before="120"/>
        <w:jc w:val="left"/>
        <w:rPr>
          <w:b/>
          <w:i/>
          <w:sz w:val="18"/>
          <w:szCs w:val="18"/>
          <w:lang w:val="en-US"/>
        </w:rPr>
      </w:pPr>
      <w:r w:rsidRPr="00F83432">
        <w:rPr>
          <w:b/>
          <w:i/>
          <w:sz w:val="18"/>
          <w:szCs w:val="18"/>
          <w:lang w:val="en-US"/>
        </w:rPr>
        <w:t>Paper</w:t>
      </w:r>
    </w:p>
    <w:p w14:paraId="1DE66574" w14:textId="77777777" w:rsidR="005F2691" w:rsidRPr="00EC70D1" w:rsidRDefault="005F2691" w:rsidP="005F2691">
      <w:pPr>
        <w:pStyle w:val="Testo1"/>
        <w:spacing w:before="0" w:line="240" w:lineRule="atLeast"/>
        <w:rPr>
          <w:rFonts w:ascii="Times New Roman" w:hAnsi="Times New Roman"/>
          <w:i/>
          <w:iCs/>
          <w:szCs w:val="18"/>
          <w:lang w:val="en-US"/>
        </w:rPr>
      </w:pPr>
      <w:r w:rsidRPr="00F83432">
        <w:rPr>
          <w:rFonts w:ascii="Times New Roman" w:hAnsi="Times New Roman"/>
          <w:smallCaps/>
          <w:spacing w:val="-5"/>
          <w:szCs w:val="18"/>
          <w:lang w:val="en-US"/>
        </w:rPr>
        <w:t>Dyck A., Lins K.V., Roth L. e Wagner H.F. (2019), “</w:t>
      </w:r>
      <w:r w:rsidRPr="00EC70D1">
        <w:rPr>
          <w:rFonts w:ascii="Times New Roman" w:hAnsi="Times New Roman"/>
          <w:i/>
          <w:iCs/>
          <w:spacing w:val="-5"/>
          <w:szCs w:val="18"/>
          <w:lang w:val="en-US"/>
        </w:rPr>
        <w:t>Do institutional investors drive corporate social responsibility? International evidence”, Journal of Financial Economics, 131, 693-714.</w:t>
      </w:r>
    </w:p>
    <w:p w14:paraId="632C6A35" w14:textId="77777777" w:rsidR="00F83432" w:rsidRPr="00EC70D1" w:rsidRDefault="00F83432" w:rsidP="005F269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F83432">
        <w:rPr>
          <w:rFonts w:ascii="Times New Roman" w:hAnsi="Times New Roman"/>
          <w:smallCaps/>
          <w:spacing w:val="-5"/>
          <w:szCs w:val="18"/>
          <w:lang w:val="en-US"/>
        </w:rPr>
        <w:t xml:space="preserve">Giglio, S., Kelly, B., Stroebel, J., 2021. </w:t>
      </w:r>
      <w:r w:rsidRPr="00EC70D1">
        <w:rPr>
          <w:rFonts w:ascii="Times New Roman" w:hAnsi="Times New Roman"/>
          <w:spacing w:val="-5"/>
          <w:szCs w:val="18"/>
          <w:lang w:val="en-US"/>
        </w:rPr>
        <w:t>Climate Finance. Annual Review of Financial Economics 13, 15-36.</w:t>
      </w:r>
    </w:p>
    <w:p w14:paraId="2ACEDEAC" w14:textId="23893E6C" w:rsidR="005F2691" w:rsidRPr="00EC70D1" w:rsidRDefault="005F2691" w:rsidP="005F2691">
      <w:pPr>
        <w:pStyle w:val="Testo1"/>
        <w:spacing w:before="0" w:line="240" w:lineRule="atLeast"/>
        <w:rPr>
          <w:rFonts w:ascii="Times New Roman" w:hAnsi="Times New Roman"/>
          <w:i/>
          <w:iCs/>
          <w:spacing w:val="-5"/>
          <w:szCs w:val="18"/>
          <w:lang w:val="en-US"/>
        </w:rPr>
      </w:pPr>
      <w:r w:rsidRPr="00F83432">
        <w:rPr>
          <w:rFonts w:ascii="Times New Roman" w:hAnsi="Times New Roman"/>
          <w:smallCaps/>
          <w:spacing w:val="-5"/>
          <w:szCs w:val="18"/>
          <w:lang w:val="en-US"/>
        </w:rPr>
        <w:t>Hackenberg B. e Schiereck D. (2018), “</w:t>
      </w:r>
      <w:r w:rsidRPr="00EC70D1">
        <w:rPr>
          <w:rFonts w:ascii="Times New Roman" w:hAnsi="Times New Roman"/>
          <w:i/>
          <w:iCs/>
          <w:spacing w:val="-5"/>
          <w:szCs w:val="18"/>
          <w:lang w:val="en-US"/>
        </w:rPr>
        <w:t xml:space="preserve">Are green bonds priced differently from conventional bonds?”, </w:t>
      </w:r>
      <w:r w:rsidRPr="00EC70D1">
        <w:rPr>
          <w:rFonts w:ascii="Times New Roman" w:hAnsi="Times New Roman"/>
          <w:spacing w:val="-5"/>
          <w:szCs w:val="18"/>
          <w:lang w:val="en-US"/>
        </w:rPr>
        <w:t>Journal of Asset Management, 19 (6), 371-383.</w:t>
      </w:r>
    </w:p>
    <w:p w14:paraId="5D41238E" w14:textId="77777777" w:rsidR="005F2691" w:rsidRPr="00EC70D1" w:rsidRDefault="005F2691" w:rsidP="005F2691">
      <w:pPr>
        <w:pStyle w:val="Testo1"/>
        <w:spacing w:before="0" w:line="240" w:lineRule="atLeast"/>
        <w:rPr>
          <w:rFonts w:ascii="Times New Roman" w:hAnsi="Times New Roman"/>
          <w:smallCaps/>
          <w:spacing w:val="-5"/>
          <w:szCs w:val="18"/>
          <w:lang w:val="en-US"/>
        </w:rPr>
      </w:pPr>
      <w:r w:rsidRPr="00F83432">
        <w:rPr>
          <w:rFonts w:ascii="Times New Roman" w:hAnsi="Times New Roman"/>
          <w:smallCaps/>
          <w:spacing w:val="-5"/>
          <w:szCs w:val="18"/>
          <w:lang w:val="en-US"/>
        </w:rPr>
        <w:t>Hart O. e Zingales L. (2017), “</w:t>
      </w:r>
      <w:r w:rsidRPr="00EC70D1">
        <w:rPr>
          <w:rFonts w:ascii="Times New Roman" w:hAnsi="Times New Roman"/>
          <w:i/>
          <w:iCs/>
          <w:spacing w:val="-5"/>
          <w:szCs w:val="18"/>
          <w:lang w:val="en-US"/>
        </w:rPr>
        <w:t xml:space="preserve">Companies Should Maximize Shareholder Welfare Not Market Value”, </w:t>
      </w:r>
      <w:r w:rsidRPr="00EC70D1">
        <w:rPr>
          <w:rFonts w:ascii="Times New Roman" w:hAnsi="Times New Roman"/>
          <w:spacing w:val="-5"/>
          <w:szCs w:val="18"/>
          <w:lang w:val="en-US"/>
        </w:rPr>
        <w:t>Journal of Law, Finance, and Accounting, 2 (2): 247-274.</w:t>
      </w:r>
    </w:p>
    <w:p w14:paraId="29EB3B48" w14:textId="595679D6" w:rsidR="00F83432" w:rsidRPr="00EC70D1" w:rsidRDefault="00F83432" w:rsidP="005F2691">
      <w:pPr>
        <w:pStyle w:val="Testo1"/>
        <w:spacing w:before="0" w:line="240" w:lineRule="atLeast"/>
        <w:rPr>
          <w:rFonts w:ascii="Times New Roman" w:hAnsi="Times New Roman"/>
          <w:i/>
          <w:iCs/>
          <w:spacing w:val="-5"/>
          <w:szCs w:val="18"/>
          <w:lang w:val="en-US"/>
        </w:rPr>
      </w:pPr>
      <w:r w:rsidRPr="00F83432">
        <w:rPr>
          <w:rFonts w:ascii="Times New Roman" w:hAnsi="Times New Roman"/>
          <w:smallCaps/>
          <w:spacing w:val="-5"/>
          <w:szCs w:val="18"/>
        </w:rPr>
        <w:t xml:space="preserve">Hsu, P., Li, K., Tsou, C., 2023. </w:t>
      </w:r>
      <w:r w:rsidRPr="00EC70D1">
        <w:rPr>
          <w:rFonts w:ascii="Times New Roman" w:hAnsi="Times New Roman"/>
          <w:i/>
          <w:iCs/>
          <w:spacing w:val="-5"/>
          <w:szCs w:val="18"/>
          <w:lang w:val="en-US"/>
        </w:rPr>
        <w:t>The Pollution Premium. Journal of Finance, in press.</w:t>
      </w:r>
    </w:p>
    <w:p w14:paraId="13467B1A" w14:textId="556EAB9B" w:rsidR="00F83432" w:rsidRPr="00EC70D1" w:rsidRDefault="00F83432" w:rsidP="005F269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EC70D1">
        <w:rPr>
          <w:rFonts w:ascii="Times New Roman" w:hAnsi="Times New Roman"/>
          <w:smallCaps/>
          <w:spacing w:val="-5"/>
          <w:szCs w:val="18"/>
          <w:lang w:val="en-US"/>
        </w:rPr>
        <w:t>Pástor, L, Stambaugh, R. F., Taylor, L. A</w:t>
      </w:r>
      <w:r w:rsidRPr="00EC70D1">
        <w:rPr>
          <w:rFonts w:ascii="Times New Roman" w:hAnsi="Times New Roman"/>
          <w:spacing w:val="-5"/>
          <w:szCs w:val="18"/>
          <w:lang w:val="en-US"/>
        </w:rPr>
        <w:t xml:space="preserve">., 2021. </w:t>
      </w:r>
      <w:r w:rsidRPr="00EC70D1">
        <w:rPr>
          <w:rFonts w:ascii="Times New Roman" w:hAnsi="Times New Roman"/>
          <w:i/>
          <w:iCs/>
          <w:spacing w:val="-5"/>
          <w:szCs w:val="18"/>
          <w:lang w:val="en-US"/>
        </w:rPr>
        <w:t>Sustainable Investing in Equilibrium</w:t>
      </w:r>
      <w:r w:rsidRPr="00EC70D1">
        <w:rPr>
          <w:rFonts w:ascii="Times New Roman" w:hAnsi="Times New Roman"/>
          <w:spacing w:val="-5"/>
          <w:szCs w:val="18"/>
          <w:lang w:val="en-US"/>
        </w:rPr>
        <w:t>. Journal of Financial Economics 142, 550-571.</w:t>
      </w:r>
    </w:p>
    <w:p w14:paraId="00675D5E" w14:textId="77777777" w:rsidR="00F83432" w:rsidRPr="00EC70D1" w:rsidRDefault="00F83432" w:rsidP="005F269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F83432">
        <w:rPr>
          <w:rFonts w:ascii="Times New Roman" w:hAnsi="Times New Roman"/>
          <w:smallCaps/>
          <w:spacing w:val="-5"/>
          <w:szCs w:val="18"/>
          <w:lang w:val="en-US"/>
        </w:rPr>
        <w:t xml:space="preserve">Pedersen, L. H., Fitzgibbons, S., Pomorski, L., 2021. </w:t>
      </w:r>
      <w:r w:rsidRPr="00EC70D1">
        <w:rPr>
          <w:rFonts w:ascii="Times New Roman" w:hAnsi="Times New Roman"/>
          <w:i/>
          <w:iCs/>
          <w:spacing w:val="-5"/>
          <w:szCs w:val="18"/>
          <w:lang w:val="en-US"/>
        </w:rPr>
        <w:t>Responsible Investing: The ESG-Efficient Frontier</w:t>
      </w:r>
      <w:r w:rsidRPr="00EC70D1">
        <w:rPr>
          <w:rFonts w:ascii="Times New Roman" w:hAnsi="Times New Roman"/>
          <w:spacing w:val="-5"/>
          <w:szCs w:val="18"/>
          <w:lang w:val="en-US"/>
        </w:rPr>
        <w:t>. Journal of Financial Economics 142, 572-597.</w:t>
      </w:r>
    </w:p>
    <w:p w14:paraId="26FDEBD5" w14:textId="29997D44" w:rsidR="005F2691" w:rsidRPr="00EC70D1" w:rsidRDefault="005F2691" w:rsidP="005F2691">
      <w:pPr>
        <w:pStyle w:val="Testo1"/>
        <w:spacing w:before="0" w:line="240" w:lineRule="atLeast"/>
        <w:rPr>
          <w:rFonts w:ascii="Times New Roman" w:hAnsi="Times New Roman"/>
          <w:spacing w:val="-5"/>
          <w:szCs w:val="18"/>
          <w:lang w:val="en-US"/>
        </w:rPr>
      </w:pPr>
      <w:r w:rsidRPr="00F83432">
        <w:rPr>
          <w:rFonts w:ascii="Times New Roman" w:hAnsi="Times New Roman"/>
          <w:smallCaps/>
          <w:spacing w:val="-5"/>
          <w:szCs w:val="18"/>
          <w:lang w:val="en-US"/>
        </w:rPr>
        <w:t>Statman M. e Glushkov D. (2016), “</w:t>
      </w:r>
      <w:r w:rsidRPr="00EC70D1">
        <w:rPr>
          <w:rFonts w:ascii="Times New Roman" w:hAnsi="Times New Roman"/>
          <w:i/>
          <w:iCs/>
          <w:spacing w:val="-5"/>
          <w:szCs w:val="18"/>
          <w:lang w:val="en-US"/>
        </w:rPr>
        <w:t>Classifying and measuring the performance of socially responsible mutual funds</w:t>
      </w:r>
      <w:r w:rsidRPr="00EC70D1">
        <w:rPr>
          <w:rFonts w:ascii="Times New Roman" w:hAnsi="Times New Roman"/>
          <w:spacing w:val="-5"/>
          <w:szCs w:val="18"/>
          <w:lang w:val="en-US"/>
        </w:rPr>
        <w:t>”, Journal of Portfolio Management, 42(2), 140-151.</w:t>
      </w:r>
    </w:p>
    <w:p w14:paraId="077C1524" w14:textId="77777777" w:rsidR="005F2691" w:rsidRPr="00F83432" w:rsidRDefault="005F2691" w:rsidP="005F2691">
      <w:pPr>
        <w:pStyle w:val="Testo1"/>
        <w:spacing w:before="0"/>
        <w:rPr>
          <w:rFonts w:ascii="Times New Roman" w:hAnsi="Times New Roman"/>
          <w:szCs w:val="18"/>
        </w:rPr>
      </w:pPr>
      <w:r w:rsidRPr="00F83432">
        <w:rPr>
          <w:rFonts w:ascii="Times New Roman" w:hAnsi="Times New Roman"/>
          <w:szCs w:val="18"/>
        </w:rPr>
        <w:t>Appunti delle lezioni, riferimenti bibliografici, materiale di supporto indicati di volta in volta a lezione. Si segnala che il materiale bibliografico è per la massima parte in lingua inglese.</w:t>
      </w:r>
    </w:p>
    <w:p w14:paraId="3E43C23F" w14:textId="77777777" w:rsidR="005F2691" w:rsidRPr="00F83432" w:rsidRDefault="005F2691" w:rsidP="005F2691">
      <w:pPr>
        <w:spacing w:before="240" w:after="120" w:line="220" w:lineRule="exact"/>
        <w:rPr>
          <w:b/>
          <w:i/>
          <w:sz w:val="18"/>
          <w:szCs w:val="18"/>
        </w:rPr>
      </w:pPr>
      <w:r w:rsidRPr="00F83432">
        <w:rPr>
          <w:b/>
          <w:i/>
          <w:sz w:val="18"/>
          <w:szCs w:val="18"/>
        </w:rPr>
        <w:lastRenderedPageBreak/>
        <w:t>DIDATTICA DEL CORSO</w:t>
      </w:r>
    </w:p>
    <w:p w14:paraId="487FBF41" w14:textId="77777777" w:rsidR="005F2691" w:rsidRPr="00F83432" w:rsidRDefault="005F2691" w:rsidP="005F2691">
      <w:pPr>
        <w:pStyle w:val="Testo2"/>
        <w:rPr>
          <w:rFonts w:ascii="Times New Roman" w:hAnsi="Times New Roman"/>
          <w:szCs w:val="18"/>
        </w:rPr>
      </w:pPr>
      <w:r w:rsidRPr="00F83432">
        <w:rPr>
          <w:rFonts w:ascii="Times New Roman" w:hAnsi="Times New Roman"/>
          <w:szCs w:val="18"/>
        </w:rPr>
        <w:t>Lezioni frontali (60 ore, articolate su 5 ore x 12 settimane). Le lezioni includono presentazioni di carattere teorico ed testimonianze di esperti.</w:t>
      </w:r>
    </w:p>
    <w:p w14:paraId="0D1522E6" w14:textId="77777777" w:rsidR="005F2691" w:rsidRPr="00F83432" w:rsidRDefault="005F2691" w:rsidP="005F2691">
      <w:pPr>
        <w:spacing w:before="240" w:after="120" w:line="220" w:lineRule="exact"/>
        <w:rPr>
          <w:b/>
          <w:i/>
          <w:noProof/>
          <w:sz w:val="18"/>
          <w:szCs w:val="18"/>
        </w:rPr>
      </w:pPr>
      <w:r w:rsidRPr="00F83432">
        <w:rPr>
          <w:b/>
          <w:i/>
          <w:noProof/>
          <w:sz w:val="18"/>
          <w:szCs w:val="18"/>
        </w:rPr>
        <w:t>METODO E CRITERI DI VALUTAZIONE</w:t>
      </w:r>
    </w:p>
    <w:p w14:paraId="7EE8846D" w14:textId="77777777" w:rsidR="005F2691" w:rsidRPr="00F83432" w:rsidRDefault="005F2691" w:rsidP="005F2691">
      <w:pPr>
        <w:pStyle w:val="Testo2"/>
        <w:rPr>
          <w:rFonts w:ascii="Times New Roman" w:hAnsi="Times New Roman"/>
          <w:szCs w:val="18"/>
        </w:rPr>
      </w:pPr>
      <w:r w:rsidRPr="00F83432">
        <w:rPr>
          <w:rFonts w:ascii="Times New Roman" w:hAnsi="Times New Roman"/>
          <w:szCs w:val="18"/>
        </w:rPr>
        <w:t>Prova scritta nelle date ufficiali d’appello, articolata su due esercizi che richiedono l’effettuazione di calcoli e una domanda “teorica”, tendenzialmente a risposta aperta; anche la domande “teorica” può richiedere lo svolgimento di semplici calcoli. Il peso di esercizi e domande nella valutazione complessiva dell’esame è, in linea generale, uguale. Non sono previste prove intermedie.</w:t>
      </w:r>
    </w:p>
    <w:p w14:paraId="392D569D" w14:textId="77777777" w:rsidR="005F2691" w:rsidRPr="00F83432" w:rsidRDefault="005F2691" w:rsidP="005F2691">
      <w:pPr>
        <w:spacing w:before="240" w:after="120" w:line="240" w:lineRule="exact"/>
        <w:rPr>
          <w:b/>
          <w:i/>
          <w:noProof/>
          <w:sz w:val="18"/>
          <w:szCs w:val="18"/>
        </w:rPr>
      </w:pPr>
      <w:r w:rsidRPr="00F83432">
        <w:rPr>
          <w:b/>
          <w:i/>
          <w:noProof/>
          <w:sz w:val="18"/>
          <w:szCs w:val="18"/>
        </w:rPr>
        <w:t>AVVERTENZE E PREREQUISITI</w:t>
      </w:r>
    </w:p>
    <w:p w14:paraId="1B60992F" w14:textId="77777777" w:rsidR="005F2691" w:rsidRPr="00F83432" w:rsidRDefault="005F2691" w:rsidP="00EC70D1">
      <w:pPr>
        <w:pStyle w:val="Testo2"/>
      </w:pPr>
      <w:r w:rsidRPr="00F83432">
        <w:t>Avvertenze</w:t>
      </w:r>
    </w:p>
    <w:p w14:paraId="63E152E0" w14:textId="77777777" w:rsidR="005F2691" w:rsidRPr="00F83432" w:rsidRDefault="005F2691" w:rsidP="00EC70D1">
      <w:pPr>
        <w:pStyle w:val="Testo2"/>
        <w:rPr>
          <w:rFonts w:ascii="Times New Roman" w:hAnsi="Times New Roman"/>
        </w:rPr>
      </w:pPr>
      <w:r w:rsidRPr="00F83432">
        <w:rPr>
          <w:rFonts w:ascii="Times New Roman" w:hAnsi="Times New Roman"/>
        </w:rPr>
        <w:t>Una frequenza assidua alle lezioni, accompagnata da studio graduale (e dallo svolgimento degli esercizi segnalati a lezione), rende assai più facile l’apprendimento e il superamento dell’esame. Agli studenti frequentanti è data la possibilità di discutere in classe dei casi di studio. Pertanto, gli studenti sono vivamente invitati a tenere conto di tale fatto nella programmazione delle proprie attività di studio.</w:t>
      </w:r>
    </w:p>
    <w:p w14:paraId="48DBBBC7" w14:textId="3B76CFD3" w:rsidR="00EC555E" w:rsidRPr="00EC70D1" w:rsidRDefault="00EC70D1" w:rsidP="00EC70D1">
      <w:pPr>
        <w:pStyle w:val="Testo2"/>
        <w:spacing w:before="120"/>
        <w:rPr>
          <w:bCs/>
          <w:i/>
          <w:iCs/>
          <w:caps/>
        </w:rPr>
      </w:pPr>
      <w:r w:rsidRPr="00EC70D1">
        <w:rPr>
          <w:bCs/>
          <w:i/>
          <w:iCs/>
        </w:rPr>
        <w:t xml:space="preserve">Orario e luogo di ricevimento </w:t>
      </w:r>
    </w:p>
    <w:p w14:paraId="3074E5A2" w14:textId="77777777" w:rsidR="00EC555E" w:rsidRPr="00F83432" w:rsidRDefault="00EC555E" w:rsidP="00EC70D1">
      <w:pPr>
        <w:pStyle w:val="Testo2"/>
      </w:pPr>
      <w:r w:rsidRPr="00F83432">
        <w:t>Il prof. Alfonso Del Giudice riceve gli studenti il mercoledì dalle 16:30 presso il Dipartimento di Scienze dell’Economia e Gestione Aziendale, via Necchi 7, ufficio 402.</w:t>
      </w:r>
    </w:p>
    <w:p w14:paraId="4CC0627E" w14:textId="0881D0C4" w:rsidR="00EC555E" w:rsidRPr="00F83432" w:rsidRDefault="00EC555E" w:rsidP="00EC70D1">
      <w:pPr>
        <w:pStyle w:val="Testo2"/>
      </w:pPr>
      <w:r w:rsidRPr="00F83432">
        <w:t>Il prof. Andrea Signori riceve gli studenti il giovedì dalle 15:00 presso il Dipartimento di Scienze dell’Economia e Gestione Aziendale, via Necchi 7, ufficio 105.</w:t>
      </w:r>
    </w:p>
    <w:sectPr w:rsidR="00EC555E" w:rsidRPr="00F8343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752BA" w14:textId="77777777" w:rsidR="0007345E" w:rsidRDefault="0007345E" w:rsidP="00A53A7F">
      <w:r>
        <w:separator/>
      </w:r>
    </w:p>
  </w:endnote>
  <w:endnote w:type="continuationSeparator" w:id="0">
    <w:p w14:paraId="0EEA6A70" w14:textId="77777777" w:rsidR="0007345E" w:rsidRDefault="0007345E" w:rsidP="00A53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9CDA" w14:textId="77777777" w:rsidR="0007345E" w:rsidRDefault="0007345E" w:rsidP="00A53A7F">
      <w:r>
        <w:separator/>
      </w:r>
    </w:p>
  </w:footnote>
  <w:footnote w:type="continuationSeparator" w:id="0">
    <w:p w14:paraId="25C4E764" w14:textId="77777777" w:rsidR="0007345E" w:rsidRDefault="0007345E" w:rsidP="00A53A7F">
      <w:r>
        <w:continuationSeparator/>
      </w:r>
    </w:p>
  </w:footnote>
  <w:footnote w:id="1">
    <w:p w14:paraId="693D0F58" w14:textId="2DEC709F" w:rsidR="003B4462" w:rsidRDefault="003B446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820473"/>
    <w:multiLevelType w:val="hybridMultilevel"/>
    <w:tmpl w:val="E16688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80285"/>
    <w:multiLevelType w:val="hybridMultilevel"/>
    <w:tmpl w:val="8C84312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8006715">
    <w:abstractNumId w:val="0"/>
  </w:num>
  <w:num w:numId="2" w16cid:durableId="1334975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E11"/>
    <w:rsid w:val="0007345E"/>
    <w:rsid w:val="000963FE"/>
    <w:rsid w:val="00187B99"/>
    <w:rsid w:val="002014DD"/>
    <w:rsid w:val="00216DF2"/>
    <w:rsid w:val="00221570"/>
    <w:rsid w:val="00281BAC"/>
    <w:rsid w:val="002B1745"/>
    <w:rsid w:val="002D5E17"/>
    <w:rsid w:val="003249B4"/>
    <w:rsid w:val="00385D39"/>
    <w:rsid w:val="00395FB9"/>
    <w:rsid w:val="003B4462"/>
    <w:rsid w:val="004526E4"/>
    <w:rsid w:val="004D1217"/>
    <w:rsid w:val="004D1CE3"/>
    <w:rsid w:val="004D6008"/>
    <w:rsid w:val="0055280A"/>
    <w:rsid w:val="00593F9B"/>
    <w:rsid w:val="005961B7"/>
    <w:rsid w:val="005C5260"/>
    <w:rsid w:val="005F2691"/>
    <w:rsid w:val="00614303"/>
    <w:rsid w:val="00640794"/>
    <w:rsid w:val="006F1772"/>
    <w:rsid w:val="00816463"/>
    <w:rsid w:val="00885CC1"/>
    <w:rsid w:val="008942E7"/>
    <w:rsid w:val="008A1204"/>
    <w:rsid w:val="008E2D4B"/>
    <w:rsid w:val="008E5A1C"/>
    <w:rsid w:val="00900CCA"/>
    <w:rsid w:val="00906459"/>
    <w:rsid w:val="00906687"/>
    <w:rsid w:val="00924B77"/>
    <w:rsid w:val="009251FA"/>
    <w:rsid w:val="00940DA2"/>
    <w:rsid w:val="009673E4"/>
    <w:rsid w:val="009D7E11"/>
    <w:rsid w:val="009E055C"/>
    <w:rsid w:val="00A53A7F"/>
    <w:rsid w:val="00A74F6F"/>
    <w:rsid w:val="00AC0C10"/>
    <w:rsid w:val="00AD7557"/>
    <w:rsid w:val="00AF0313"/>
    <w:rsid w:val="00B50C5D"/>
    <w:rsid w:val="00B51253"/>
    <w:rsid w:val="00B525CC"/>
    <w:rsid w:val="00BA79A6"/>
    <w:rsid w:val="00BD6829"/>
    <w:rsid w:val="00D3663F"/>
    <w:rsid w:val="00D404F2"/>
    <w:rsid w:val="00D66A61"/>
    <w:rsid w:val="00DF041D"/>
    <w:rsid w:val="00E607E6"/>
    <w:rsid w:val="00EC555E"/>
    <w:rsid w:val="00EC70D1"/>
    <w:rsid w:val="00EE4D98"/>
    <w:rsid w:val="00F06DCE"/>
    <w:rsid w:val="00F42526"/>
    <w:rsid w:val="00F8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92C214"/>
  <w15:docId w15:val="{F871D896-EE05-4AA7-A940-C82F7BA2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7E11"/>
    <w:pPr>
      <w:jc w:val="both"/>
    </w:p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A53A7F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53A7F"/>
  </w:style>
  <w:style w:type="character" w:styleId="Rimandonotaapidipagina">
    <w:name w:val="footnote reference"/>
    <w:basedOn w:val="Carpredefinitoparagrafo"/>
    <w:rsid w:val="00A53A7F"/>
    <w:rPr>
      <w:vertAlign w:val="superscript"/>
    </w:rPr>
  </w:style>
  <w:style w:type="character" w:styleId="Collegamentoipertestuale">
    <w:name w:val="Hyperlink"/>
    <w:basedOn w:val="Carpredefinitoparagrafo"/>
    <w:rsid w:val="00A53A7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343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B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lfonso-del-giudice/la-finanza-sostenibile-strategie-mercato-e-investitori-istituzionali-9788892144262-723302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D50CB-816E-44EB-AD0D-9538B8017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6</TotalTime>
  <Pages>3</Pages>
  <Words>843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6</cp:revision>
  <cp:lastPrinted>2003-03-27T10:42:00Z</cp:lastPrinted>
  <dcterms:created xsi:type="dcterms:W3CDTF">2023-04-27T09:38:00Z</dcterms:created>
  <dcterms:modified xsi:type="dcterms:W3CDTF">2023-06-29T05:57:00Z</dcterms:modified>
</cp:coreProperties>
</file>