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AAE8" w14:textId="2D692575" w:rsidR="00B831B9" w:rsidRPr="00D90449" w:rsidRDefault="00B831B9" w:rsidP="00D90449">
      <w:pPr>
        <w:spacing w:line="240" w:lineRule="auto"/>
        <w:rPr>
          <w:b/>
          <w:szCs w:val="20"/>
          <w:lang w:val="en-US"/>
        </w:rPr>
      </w:pPr>
      <w:r w:rsidRPr="00D90449">
        <w:rPr>
          <w:b/>
          <w:szCs w:val="20"/>
          <w:lang w:val="en-US"/>
        </w:rPr>
        <w:t>Business Marketing</w:t>
      </w:r>
    </w:p>
    <w:p w14:paraId="63F3732A" w14:textId="5FF64006" w:rsidR="00452DA1" w:rsidRPr="00D90449" w:rsidRDefault="00B831B9" w:rsidP="00D90449">
      <w:pPr>
        <w:spacing w:line="240" w:lineRule="auto"/>
        <w:rPr>
          <w:smallCaps/>
          <w:sz w:val="18"/>
          <w:szCs w:val="20"/>
        </w:rPr>
      </w:pPr>
      <w:r w:rsidRPr="00D90449">
        <w:rPr>
          <w:smallCaps/>
          <w:sz w:val="18"/>
          <w:szCs w:val="20"/>
          <w:lang w:val="en-US"/>
        </w:rPr>
        <w:t>Prof.</w:t>
      </w:r>
      <w:r w:rsidR="001551B8" w:rsidRPr="00D90449">
        <w:rPr>
          <w:smallCaps/>
          <w:sz w:val="18"/>
          <w:szCs w:val="20"/>
          <w:lang w:val="en-US"/>
        </w:rPr>
        <w:t xml:space="preserve"> </w:t>
      </w:r>
      <w:r w:rsidRPr="00D90449">
        <w:rPr>
          <w:smallCaps/>
          <w:sz w:val="18"/>
          <w:szCs w:val="20"/>
          <w:lang w:val="en-US"/>
        </w:rPr>
        <w:t xml:space="preserve">Annalisa Tunisini; Prof. </w:t>
      </w:r>
      <w:r w:rsidR="00425387" w:rsidRPr="00D90449">
        <w:rPr>
          <w:smallCaps/>
          <w:sz w:val="18"/>
          <w:szCs w:val="20"/>
        </w:rPr>
        <w:t>Clemente Bottani</w:t>
      </w:r>
    </w:p>
    <w:p w14:paraId="3A18B006" w14:textId="37B7CAEC" w:rsidR="00B831B9" w:rsidRPr="00D90449" w:rsidRDefault="00B831B9" w:rsidP="00D90449">
      <w:pPr>
        <w:spacing w:before="240" w:after="120" w:line="240" w:lineRule="auto"/>
        <w:rPr>
          <w:b/>
          <w:sz w:val="18"/>
          <w:szCs w:val="20"/>
        </w:rPr>
      </w:pPr>
      <w:r w:rsidRPr="00D90449">
        <w:rPr>
          <w:b/>
          <w:i/>
          <w:sz w:val="18"/>
          <w:szCs w:val="20"/>
        </w:rPr>
        <w:t>OBIETTIVO DEL CORSO E RISULTATI DI APPRENDIMENTO ATTESI</w:t>
      </w:r>
    </w:p>
    <w:p w14:paraId="6025A96C" w14:textId="26F2E9D7" w:rsidR="00B831B9" w:rsidRPr="00D90449" w:rsidRDefault="00B831B9" w:rsidP="00D90449">
      <w:pPr>
        <w:spacing w:line="240" w:lineRule="auto"/>
        <w:rPr>
          <w:rFonts w:eastAsia="Calibri"/>
          <w:strike/>
          <w:szCs w:val="20"/>
        </w:rPr>
      </w:pPr>
      <w:r w:rsidRPr="00D90449">
        <w:rPr>
          <w:rFonts w:eastAsia="Calibri"/>
          <w:szCs w:val="20"/>
        </w:rPr>
        <w:t>Negli ultimi decenni il marketing ha avviato una riflessione sempre più ricca su</w:t>
      </w:r>
      <w:r w:rsidR="00CC7CCA" w:rsidRPr="00D90449">
        <w:rPr>
          <w:rFonts w:eastAsia="Calibri"/>
          <w:szCs w:val="20"/>
        </w:rPr>
        <w:t>lle</w:t>
      </w:r>
      <w:r w:rsidRPr="00D90449">
        <w:rPr>
          <w:rFonts w:eastAsia="Calibri"/>
          <w:szCs w:val="20"/>
        </w:rPr>
        <w:t xml:space="preserve"> strategie e</w:t>
      </w:r>
      <w:r w:rsidR="00CC7CCA" w:rsidRPr="00D90449">
        <w:rPr>
          <w:rFonts w:eastAsia="Calibri"/>
          <w:szCs w:val="20"/>
        </w:rPr>
        <w:t xml:space="preserve"> sulle</w:t>
      </w:r>
      <w:r w:rsidRPr="00D90449">
        <w:rPr>
          <w:rFonts w:eastAsia="Calibri"/>
          <w:szCs w:val="20"/>
        </w:rPr>
        <w:t xml:space="preserve"> tecniche mirate a garantire agli operatori risposte capaci di tener conto della complessità dei mercati business-to-business</w:t>
      </w:r>
      <w:r w:rsidR="00880AE5" w:rsidRPr="00D90449">
        <w:rPr>
          <w:rFonts w:eastAsia="Calibri"/>
          <w:szCs w:val="20"/>
        </w:rPr>
        <w:t xml:space="preserve"> anche in ottica digitale</w:t>
      </w:r>
      <w:r w:rsidRPr="00D90449">
        <w:rPr>
          <w:rFonts w:eastAsia="Calibri"/>
          <w:szCs w:val="20"/>
        </w:rPr>
        <w:t xml:space="preserve">. </w:t>
      </w:r>
      <w:r w:rsidR="00CC7CCA" w:rsidRPr="00D90449">
        <w:rPr>
          <w:rFonts w:eastAsia="Calibri"/>
          <w:szCs w:val="20"/>
        </w:rPr>
        <w:t>Almeno i due terzi del valore degli scambi che hanno luogo nei mercati riguardano scambi business to business. Analizzare, capire e gestire tali mercati e, in particolare, il cliente business è fondamentale per chi voglia intraprendere una carriera nell’a</w:t>
      </w:r>
      <w:r w:rsidR="009A1E0E">
        <w:rPr>
          <w:rFonts w:eastAsia="Calibri"/>
          <w:szCs w:val="20"/>
        </w:rPr>
        <w:t>m</w:t>
      </w:r>
      <w:r w:rsidR="00CC7CCA" w:rsidRPr="00D90449">
        <w:rPr>
          <w:rFonts w:eastAsia="Calibri"/>
          <w:szCs w:val="20"/>
        </w:rPr>
        <w:t xml:space="preserve">bito del Marketing e, più in generale, nella gestione di efficaci relazioni di business. </w:t>
      </w:r>
      <w:r w:rsidRPr="00D90449">
        <w:rPr>
          <w:rFonts w:eastAsia="Calibri"/>
          <w:szCs w:val="20"/>
        </w:rPr>
        <w:t>L’insegnamento si propone di fornire agli studenti gli strumenti concettuali ed analitico-operativi utili per capire l</w:t>
      </w:r>
      <w:r w:rsidR="00CC7CCA" w:rsidRPr="00D90449">
        <w:rPr>
          <w:rFonts w:eastAsia="Calibri"/>
          <w:szCs w:val="20"/>
        </w:rPr>
        <w:t>a struttura e le</w:t>
      </w:r>
      <w:r w:rsidRPr="00D90449">
        <w:rPr>
          <w:rFonts w:eastAsia="Calibri"/>
          <w:szCs w:val="20"/>
        </w:rPr>
        <w:t xml:space="preserve"> dinamiche dei mercati </w:t>
      </w:r>
      <w:r w:rsidR="00CC7CCA" w:rsidRPr="00D90449">
        <w:rPr>
          <w:rFonts w:eastAsia="Calibri"/>
          <w:szCs w:val="20"/>
        </w:rPr>
        <w:t>B-to-B e per generare, erogare e distribuire valore ai clienti ed ai principali stakeholder</w:t>
      </w:r>
      <w:r w:rsidRPr="00D90449">
        <w:rPr>
          <w:rFonts w:eastAsia="Calibri"/>
          <w:szCs w:val="20"/>
        </w:rPr>
        <w:t xml:space="preserve"> </w:t>
      </w:r>
      <w:r w:rsidR="00CC7CCA" w:rsidRPr="00D90449">
        <w:rPr>
          <w:rFonts w:eastAsia="Calibri"/>
          <w:szCs w:val="20"/>
        </w:rPr>
        <w:t>con l’obiettivo ultimo della loro fidelizzazione.</w:t>
      </w:r>
    </w:p>
    <w:p w14:paraId="1FE18CDF" w14:textId="77777777" w:rsidR="00B831B9" w:rsidRPr="00D90449" w:rsidRDefault="00B831B9" w:rsidP="00D90449">
      <w:p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Al termine del corso gli studenti:</w:t>
      </w:r>
    </w:p>
    <w:p w14:paraId="3F48959A" w14:textId="60DE0A36" w:rsidR="00CC7CCA" w:rsidRPr="00D90449" w:rsidRDefault="00B831B9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</w:t>
      </w:r>
      <w:r w:rsidR="00CC7CCA" w:rsidRPr="00D90449">
        <w:rPr>
          <w:rFonts w:eastAsia="Calibri"/>
          <w:szCs w:val="20"/>
        </w:rPr>
        <w:t>acquisito l’approccio metodologico-concettuale e gli strumenti necessari per capire i mercati business;</w:t>
      </w:r>
    </w:p>
    <w:p w14:paraId="48E32B74" w14:textId="413A9C4C" w:rsidR="00CC7CCA" w:rsidRPr="00D90449" w:rsidRDefault="00CC7CCA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Avranno acquisito le metodologie di analisi dei clienti business nel loro comportamento d’acquisto;</w:t>
      </w:r>
    </w:p>
    <w:p w14:paraId="2AE60B6C" w14:textId="6A217CD0" w:rsidR="00B831B9" w:rsidRPr="00D90449" w:rsidRDefault="00CC7CCA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</w:t>
      </w:r>
      <w:r w:rsidR="00B831B9" w:rsidRPr="00D90449">
        <w:rPr>
          <w:rFonts w:eastAsia="Calibri"/>
          <w:szCs w:val="20"/>
        </w:rPr>
        <w:t>compreso cosa signific</w:t>
      </w:r>
      <w:r w:rsidRPr="00D90449">
        <w:rPr>
          <w:rFonts w:eastAsia="Calibri"/>
          <w:szCs w:val="20"/>
        </w:rPr>
        <w:t>hi</w:t>
      </w:r>
      <w:r w:rsidR="00B831B9" w:rsidRPr="00D90449">
        <w:rPr>
          <w:rFonts w:eastAsia="Calibri"/>
          <w:szCs w:val="20"/>
        </w:rPr>
        <w:t xml:space="preserve"> concretamente sviluppare ed implementare una strategia di mercato incentrata s</w:t>
      </w:r>
      <w:r w:rsidR="001551B8" w:rsidRPr="00D90449">
        <w:rPr>
          <w:rFonts w:eastAsia="Calibri"/>
          <w:szCs w:val="20"/>
        </w:rPr>
        <w:t>ul cliente</w:t>
      </w:r>
      <w:r w:rsidRPr="00D90449">
        <w:rPr>
          <w:rFonts w:eastAsia="Calibri"/>
          <w:szCs w:val="20"/>
        </w:rPr>
        <w:t>;</w:t>
      </w:r>
    </w:p>
    <w:p w14:paraId="7CC0FD4E" w14:textId="2553B548" w:rsidR="00B831B9" w:rsidRPr="00D90449" w:rsidRDefault="00B831B9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acquisito le conoscenze utili per implementare strategie di segmentazione e di posizionamento nei mercati business e </w:t>
      </w:r>
      <w:r w:rsidR="000F53E0" w:rsidRPr="00D90449">
        <w:rPr>
          <w:rFonts w:eastAsia="Calibri"/>
          <w:szCs w:val="20"/>
        </w:rPr>
        <w:t>per</w:t>
      </w:r>
      <w:r w:rsidRPr="00D90449">
        <w:rPr>
          <w:rFonts w:eastAsia="Calibri"/>
          <w:szCs w:val="20"/>
        </w:rPr>
        <w:t xml:space="preserve"> svilupp</w:t>
      </w:r>
      <w:r w:rsidR="000F53E0" w:rsidRPr="00D90449">
        <w:rPr>
          <w:rFonts w:eastAsia="Calibri"/>
          <w:szCs w:val="20"/>
        </w:rPr>
        <w:t xml:space="preserve">are </w:t>
      </w:r>
      <w:r w:rsidRPr="00D90449">
        <w:rPr>
          <w:rFonts w:eastAsia="Calibri"/>
          <w:szCs w:val="20"/>
        </w:rPr>
        <w:t>value pro</w:t>
      </w:r>
      <w:r w:rsidR="001551B8" w:rsidRPr="00D90449">
        <w:rPr>
          <w:rFonts w:eastAsia="Calibri"/>
          <w:szCs w:val="20"/>
        </w:rPr>
        <w:t>position incentrate sui clienti;</w:t>
      </w:r>
    </w:p>
    <w:p w14:paraId="7C7A80C2" w14:textId="175E4108" w:rsidR="006A0877" w:rsidRPr="00D90449" w:rsidRDefault="00827B48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Avranno compreso quali sono le principali </w:t>
      </w:r>
      <w:r w:rsidR="00425387" w:rsidRPr="00D90449">
        <w:rPr>
          <w:rFonts w:eastAsia="Calibri"/>
          <w:szCs w:val="20"/>
        </w:rPr>
        <w:t>strategie e politiche operative per gestire i clienti business e generare domanda</w:t>
      </w:r>
    </w:p>
    <w:p w14:paraId="15F19A63" w14:textId="273DBBC7" w:rsidR="000F53E0" w:rsidRPr="00D90449" w:rsidRDefault="000F53E0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Avranno acquisito le conoscenze e gli strumenti utili per la gestione strategica e operativa delle vendite nei mercati business</w:t>
      </w:r>
    </w:p>
    <w:p w14:paraId="026A5321" w14:textId="4876E81C" w:rsidR="00BC52B9" w:rsidRPr="00D90449" w:rsidRDefault="000F53E0" w:rsidP="00D90449">
      <w:pPr>
        <w:pStyle w:val="Paragrafoelenco"/>
        <w:numPr>
          <w:ilvl w:val="0"/>
          <w:numId w:val="9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Avranno acquisito le basi conoscitive necessarie per la gestione strategica dei clienti “chiave”.</w:t>
      </w:r>
    </w:p>
    <w:p w14:paraId="7B9D8523" w14:textId="76D4709D" w:rsidR="00B831B9" w:rsidRPr="00D90449" w:rsidRDefault="00B831B9" w:rsidP="00D90449">
      <w:pPr>
        <w:spacing w:before="240" w:after="120" w:line="240" w:lineRule="auto"/>
        <w:rPr>
          <w:b/>
          <w:sz w:val="18"/>
          <w:szCs w:val="20"/>
        </w:rPr>
      </w:pPr>
      <w:r w:rsidRPr="00D90449">
        <w:rPr>
          <w:b/>
          <w:i/>
          <w:sz w:val="18"/>
          <w:szCs w:val="20"/>
        </w:rPr>
        <w:t>PROGRAMMA DEL CORSO</w:t>
      </w:r>
    </w:p>
    <w:p w14:paraId="5B18E9C3" w14:textId="1750B4E2" w:rsidR="000F53E0" w:rsidRPr="00D90449" w:rsidRDefault="000F53E0" w:rsidP="00D90449">
      <w:p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 xml:space="preserve">Il corso si compone di una parte generale e di una parte specifica di approfondimento dei temi di Sales </w:t>
      </w:r>
      <w:r w:rsidR="003312C5">
        <w:rPr>
          <w:rFonts w:eastAsia="Calibri"/>
          <w:szCs w:val="20"/>
        </w:rPr>
        <w:t xml:space="preserve">&amp; Account </w:t>
      </w:r>
      <w:r w:rsidRPr="00D90449">
        <w:rPr>
          <w:rFonts w:eastAsia="Calibri"/>
          <w:szCs w:val="20"/>
        </w:rPr>
        <w:t>Management.</w:t>
      </w:r>
    </w:p>
    <w:p w14:paraId="37787DDB" w14:textId="0DB78117" w:rsidR="000F53E0" w:rsidRPr="00D90449" w:rsidRDefault="000F53E0" w:rsidP="00D90449">
      <w:p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La parte generale verte sui seguenti temi:</w:t>
      </w:r>
    </w:p>
    <w:p w14:paraId="3BC05216" w14:textId="7B9FAB38" w:rsidR="00B831B9" w:rsidRPr="00D9044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Le caratteristich</w:t>
      </w:r>
      <w:r w:rsidR="001551B8" w:rsidRPr="00D90449">
        <w:rPr>
          <w:rFonts w:eastAsia="Calibri"/>
          <w:szCs w:val="20"/>
        </w:rPr>
        <w:t>e generali dei mercati business-to-</w:t>
      </w:r>
      <w:r w:rsidRPr="00D90449">
        <w:rPr>
          <w:rFonts w:eastAsia="Calibri"/>
          <w:szCs w:val="20"/>
        </w:rPr>
        <w:t>business;</w:t>
      </w:r>
    </w:p>
    <w:p w14:paraId="5C19E4F7" w14:textId="2F1E8B82" w:rsidR="00B831B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Il cliente business e il comportamento organizzativo d’acquisto;</w:t>
      </w:r>
    </w:p>
    <w:p w14:paraId="7B4C50A0" w14:textId="130BB74F" w:rsidR="003312C5" w:rsidRPr="00D90449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Clienti business e gestione dei fornitori;</w:t>
      </w:r>
    </w:p>
    <w:p w14:paraId="6871C2CD" w14:textId="671E8307" w:rsidR="00B831B9" w:rsidRDefault="00B831B9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 w:rsidRPr="00D90449">
        <w:rPr>
          <w:rFonts w:eastAsia="Calibri"/>
          <w:szCs w:val="20"/>
        </w:rPr>
        <w:t>La relazione cliente-fornitore;</w:t>
      </w:r>
    </w:p>
    <w:p w14:paraId="0DE792CF" w14:textId="10EF634C" w:rsidR="003312C5" w:rsidRPr="00D90449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La struttura e i processi di mercato;</w:t>
      </w:r>
    </w:p>
    <w:p w14:paraId="11D4B9CF" w14:textId="0FA97DE4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lastRenderedPageBreak/>
        <w:t>La strategia e l’organizzazione di marketing;</w:t>
      </w:r>
    </w:p>
    <w:p w14:paraId="1B66E735" w14:textId="65CC286E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Cenni alle attività di marketing intelligence;</w:t>
      </w:r>
    </w:p>
    <w:p w14:paraId="50BD9C1B" w14:textId="5D3A3D77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La segmentazione del mercato e il portafoglio clienti;</w:t>
      </w:r>
    </w:p>
    <w:p w14:paraId="39CEB568" w14:textId="00ABEDBD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Il posizionamento;</w:t>
      </w:r>
    </w:p>
    <w:p w14:paraId="2048E9FF" w14:textId="51DE8BA4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Sviluppo dell’offerta di valore e innovazione;</w:t>
      </w:r>
    </w:p>
    <w:p w14:paraId="541C6912" w14:textId="00F2CD38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Prezzo;</w:t>
      </w:r>
    </w:p>
    <w:p w14:paraId="737E1AB2" w14:textId="6AF8FE4C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Sales management;</w:t>
      </w:r>
    </w:p>
    <w:p w14:paraId="6B255ADE" w14:textId="08DC7FBA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Canali di marketing</w:t>
      </w:r>
    </w:p>
    <w:p w14:paraId="0411860E" w14:textId="34F9C86F" w:rsidR="003312C5" w:rsidRDefault="003312C5" w:rsidP="00D90449">
      <w:pPr>
        <w:pStyle w:val="Paragrafoelenco"/>
        <w:numPr>
          <w:ilvl w:val="0"/>
          <w:numId w:val="11"/>
        </w:numPr>
        <w:spacing w:line="240" w:lineRule="auto"/>
        <w:rPr>
          <w:rFonts w:eastAsia="Calibri"/>
          <w:szCs w:val="20"/>
        </w:rPr>
      </w:pPr>
      <w:r>
        <w:rPr>
          <w:rFonts w:eastAsia="Calibri"/>
          <w:szCs w:val="20"/>
        </w:rPr>
        <w:t>Branding e Comunicazione</w:t>
      </w:r>
    </w:p>
    <w:p w14:paraId="4F6632ED" w14:textId="35C77582" w:rsidR="00E2576B" w:rsidRPr="009A1E0E" w:rsidRDefault="000F53E0" w:rsidP="00D90449">
      <w:pPr>
        <w:spacing w:before="120" w:line="240" w:lineRule="auto"/>
        <w:rPr>
          <w:rFonts w:eastAsia="Calibri"/>
          <w:szCs w:val="20"/>
        </w:rPr>
      </w:pPr>
      <w:r w:rsidRPr="009A1E0E">
        <w:rPr>
          <w:rFonts w:eastAsia="Calibri"/>
          <w:szCs w:val="20"/>
        </w:rPr>
        <w:t xml:space="preserve">Il focus </w:t>
      </w:r>
      <w:r w:rsidR="00421CBC" w:rsidRPr="009A1E0E">
        <w:rPr>
          <w:rFonts w:eastAsia="Calibri"/>
          <w:szCs w:val="20"/>
        </w:rPr>
        <w:t>sul</w:t>
      </w:r>
      <w:r w:rsidR="001136DE" w:rsidRPr="009A1E0E">
        <w:rPr>
          <w:rFonts w:eastAsia="Calibri"/>
          <w:szCs w:val="20"/>
        </w:rPr>
        <w:t xml:space="preserve"> Sales </w:t>
      </w:r>
      <w:r w:rsidR="003312C5" w:rsidRPr="009A1E0E">
        <w:rPr>
          <w:rFonts w:eastAsia="Calibri"/>
          <w:szCs w:val="20"/>
        </w:rPr>
        <w:t xml:space="preserve">&amp; Account </w:t>
      </w:r>
      <w:r w:rsidR="001136DE" w:rsidRPr="009A1E0E">
        <w:rPr>
          <w:rFonts w:eastAsia="Calibri"/>
          <w:szCs w:val="20"/>
        </w:rPr>
        <w:t>Management</w:t>
      </w:r>
      <w:r w:rsidR="00421CBC" w:rsidRPr="009A1E0E">
        <w:rPr>
          <w:rFonts w:eastAsia="Calibri"/>
          <w:szCs w:val="20"/>
        </w:rPr>
        <w:t xml:space="preserve"> nei mercati B</w:t>
      </w:r>
      <w:r w:rsidR="00E2576B" w:rsidRPr="009A1E0E">
        <w:rPr>
          <w:rFonts w:eastAsia="Calibri"/>
          <w:szCs w:val="20"/>
        </w:rPr>
        <w:t>2B</w:t>
      </w:r>
      <w:r w:rsidR="00421CBC" w:rsidRPr="009A1E0E">
        <w:rPr>
          <w:rFonts w:eastAsia="Calibri"/>
          <w:szCs w:val="20"/>
        </w:rPr>
        <w:t xml:space="preserve"> approfond</w:t>
      </w:r>
      <w:r w:rsidRPr="009A1E0E">
        <w:rPr>
          <w:rFonts w:eastAsia="Calibri"/>
          <w:szCs w:val="20"/>
        </w:rPr>
        <w:t>isce</w:t>
      </w:r>
      <w:r w:rsidR="00421CBC" w:rsidRPr="009A1E0E">
        <w:rPr>
          <w:rFonts w:eastAsia="Calibri"/>
          <w:szCs w:val="20"/>
        </w:rPr>
        <w:t xml:space="preserve"> i seguenti aspetti:</w:t>
      </w:r>
    </w:p>
    <w:p w14:paraId="03132019" w14:textId="77777777" w:rsidR="00E2576B" w:rsidRPr="009A1E0E" w:rsidRDefault="00421CBC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9A1E0E">
        <w:rPr>
          <w:rFonts w:eastAsia="Calibri"/>
          <w:szCs w:val="20"/>
        </w:rPr>
        <w:t xml:space="preserve">Decisioni relative ai canali con particolare attenzione alle più recenti strategie </w:t>
      </w:r>
      <w:r w:rsidR="00E2576B" w:rsidRPr="009A1E0E">
        <w:rPr>
          <w:rFonts w:eastAsia="Calibri"/>
          <w:szCs w:val="20"/>
        </w:rPr>
        <w:t xml:space="preserve">multicanale (off-line/on-line) </w:t>
      </w:r>
    </w:p>
    <w:p w14:paraId="6FF7A708" w14:textId="2A6BC28B" w:rsidR="00E2576B" w:rsidRPr="009A1E0E" w:rsidRDefault="00E2576B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9A1E0E">
        <w:rPr>
          <w:rFonts w:eastAsia="Calibri"/>
          <w:szCs w:val="20"/>
        </w:rPr>
        <w:t>Costituzione e manutenzione di una struttura commerciale efficace</w:t>
      </w:r>
    </w:p>
    <w:p w14:paraId="233C036A" w14:textId="5693AA59" w:rsidR="00421CBC" w:rsidRPr="009A1E0E" w:rsidRDefault="00421CBC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9A1E0E">
        <w:rPr>
          <w:rFonts w:eastAsia="Calibri"/>
          <w:szCs w:val="20"/>
        </w:rPr>
        <w:t>Gestione operativa del processo di vendita e della relazione continuativa con i clienti</w:t>
      </w:r>
    </w:p>
    <w:p w14:paraId="0FB05C28" w14:textId="264FC957" w:rsidR="00421CBC" w:rsidRPr="009A1E0E" w:rsidRDefault="00421CBC" w:rsidP="00D90449">
      <w:pPr>
        <w:pStyle w:val="Paragrafoelenco"/>
        <w:numPr>
          <w:ilvl w:val="0"/>
          <w:numId w:val="12"/>
        </w:numPr>
        <w:spacing w:line="240" w:lineRule="auto"/>
        <w:rPr>
          <w:rFonts w:eastAsia="Calibri"/>
          <w:szCs w:val="20"/>
        </w:rPr>
      </w:pPr>
      <w:r w:rsidRPr="009A1E0E">
        <w:rPr>
          <w:rFonts w:eastAsia="Calibri"/>
          <w:szCs w:val="20"/>
        </w:rPr>
        <w:t>Key Account Management</w:t>
      </w:r>
    </w:p>
    <w:p w14:paraId="099A47BA" w14:textId="6B6F9699" w:rsidR="00421CBC" w:rsidRPr="00D90449" w:rsidRDefault="00421CBC" w:rsidP="00D90449">
      <w:pPr>
        <w:spacing w:before="120" w:line="240" w:lineRule="auto"/>
        <w:rPr>
          <w:rFonts w:eastAsia="Calibri"/>
          <w:szCs w:val="20"/>
        </w:rPr>
      </w:pPr>
      <w:r w:rsidRPr="009A1E0E">
        <w:rPr>
          <w:rFonts w:eastAsia="Calibri"/>
          <w:szCs w:val="20"/>
        </w:rPr>
        <w:t xml:space="preserve">L’obiettivo del focus è quello di </w:t>
      </w:r>
      <w:r w:rsidR="00E2576B" w:rsidRPr="009A1E0E">
        <w:rPr>
          <w:rFonts w:eastAsia="Calibri"/>
          <w:szCs w:val="20"/>
        </w:rPr>
        <w:t>dotare il futuro manager delle conoscenze e degli strumenti necessari per gestire il rapporto con il mercato e con i clienti con la massima efficacia in termini di massimizzazione del turnover e della marginalità.</w:t>
      </w:r>
      <w:r w:rsidR="00E2576B" w:rsidRPr="00D90449">
        <w:rPr>
          <w:rFonts w:eastAsia="Calibri"/>
          <w:szCs w:val="20"/>
        </w:rPr>
        <w:t xml:space="preserve"> </w:t>
      </w:r>
    </w:p>
    <w:p w14:paraId="1B3BF86D" w14:textId="2842C8E6" w:rsidR="00B831B9" w:rsidRPr="00D90449" w:rsidRDefault="00B831B9" w:rsidP="00D90449">
      <w:pPr>
        <w:spacing w:before="240" w:after="120" w:line="240" w:lineRule="auto"/>
        <w:rPr>
          <w:rFonts w:eastAsia="Calibri"/>
          <w:sz w:val="18"/>
          <w:szCs w:val="20"/>
        </w:rPr>
      </w:pPr>
      <w:r w:rsidRPr="00D90449">
        <w:rPr>
          <w:b/>
          <w:i/>
          <w:sz w:val="18"/>
          <w:szCs w:val="20"/>
        </w:rPr>
        <w:t>BIBLIOGRAFIA</w:t>
      </w:r>
      <w:r w:rsidR="00BB5739">
        <w:rPr>
          <w:rStyle w:val="Rimandonotaapidipagina"/>
          <w:b/>
          <w:i/>
          <w:sz w:val="18"/>
          <w:szCs w:val="20"/>
        </w:rPr>
        <w:footnoteReference w:id="1"/>
      </w:r>
    </w:p>
    <w:p w14:paraId="0C273594" w14:textId="3C475310" w:rsidR="000F53E0" w:rsidRPr="00A13B14" w:rsidRDefault="000F53E0" w:rsidP="00FF3C94">
      <w:pPr>
        <w:pStyle w:val="Testo1"/>
        <w:spacing w:before="0"/>
        <w:ind w:firstLine="0"/>
        <w:rPr>
          <w:i/>
          <w:iCs/>
        </w:rPr>
      </w:pPr>
      <w:r w:rsidRPr="00A13B14">
        <w:rPr>
          <w:i/>
          <w:iCs/>
        </w:rPr>
        <w:t>Per la parte generale:</w:t>
      </w:r>
    </w:p>
    <w:p w14:paraId="66B63B72" w14:textId="0F89E952" w:rsidR="00B831B9" w:rsidRPr="00FF3C94" w:rsidRDefault="00D90449" w:rsidP="00FF3C94">
      <w:pPr>
        <w:pStyle w:val="Testo1"/>
        <w:spacing w:before="0"/>
      </w:pPr>
      <w:r w:rsidRPr="00FF3C94">
        <w:t>A. Tunisini</w:t>
      </w:r>
      <w:r w:rsidR="00B831B9" w:rsidRPr="00FF3C94">
        <w:t xml:space="preserve">, </w:t>
      </w:r>
      <w:r w:rsidR="003312C5" w:rsidRPr="00FF3C94">
        <w:t xml:space="preserve">(2024) </w:t>
      </w:r>
      <w:r w:rsidR="00B831B9" w:rsidRPr="00FF3C94">
        <w:t>Marketing BtoB, Hoepli,</w:t>
      </w:r>
      <w:r w:rsidR="005F253D" w:rsidRPr="00FF3C94">
        <w:t xml:space="preserve"> </w:t>
      </w:r>
      <w:r w:rsidR="003312C5" w:rsidRPr="00FF3C94">
        <w:t xml:space="preserve">SECONDA EDIZIONE </w:t>
      </w:r>
      <w:r w:rsidR="005F253D" w:rsidRPr="00FF3C94">
        <w:t>Milano</w:t>
      </w:r>
      <w:r w:rsidR="00BB5739">
        <w:t xml:space="preserve"> </w:t>
      </w:r>
      <w:bookmarkStart w:id="1" w:name="_Hlk138680461"/>
      <w:r w:rsidR="00BB5739">
        <w:rPr>
          <w:rFonts w:ascii="Times New Roman" w:hAnsi="Times New Roman"/>
          <w:i/>
          <w:color w:val="0070C0"/>
          <w:szCs w:val="18"/>
        </w:rPr>
        <w:fldChar w:fldCharType="begin"/>
      </w:r>
      <w:r w:rsidR="00BB5739">
        <w:rPr>
          <w:rFonts w:ascii="Times New Roman" w:hAnsi="Times New Roman"/>
          <w:i/>
          <w:color w:val="0070C0"/>
          <w:szCs w:val="18"/>
        </w:rPr>
        <w:instrText>HYPERLINK "https://librerie.unicatt.it/scheda-libro/annalisa-tunisini/marketing-b-to-b-9788820372200-248144.html"</w:instrText>
      </w:r>
      <w:r w:rsidR="00BB5739">
        <w:rPr>
          <w:rFonts w:ascii="Times New Roman" w:hAnsi="Times New Roman"/>
          <w:i/>
          <w:color w:val="0070C0"/>
          <w:szCs w:val="18"/>
        </w:rPr>
      </w:r>
      <w:r w:rsidR="00BB5739">
        <w:rPr>
          <w:rFonts w:ascii="Times New Roman" w:hAnsi="Times New Roman"/>
          <w:i/>
          <w:color w:val="0070C0"/>
          <w:szCs w:val="18"/>
        </w:rPr>
        <w:fldChar w:fldCharType="separate"/>
      </w:r>
      <w:r w:rsidR="00BB5739" w:rsidRPr="00BB5739">
        <w:rPr>
          <w:rStyle w:val="Collegamentoipertestuale"/>
          <w:rFonts w:ascii="Times New Roman" w:hAnsi="Times New Roman"/>
          <w:i/>
          <w:szCs w:val="18"/>
        </w:rPr>
        <w:t>Acquista da VP</w:t>
      </w:r>
      <w:bookmarkEnd w:id="1"/>
      <w:r w:rsidR="00BB5739">
        <w:rPr>
          <w:rFonts w:ascii="Times New Roman" w:hAnsi="Times New Roman"/>
          <w:i/>
          <w:color w:val="0070C0"/>
          <w:szCs w:val="18"/>
        </w:rPr>
        <w:fldChar w:fldCharType="end"/>
      </w:r>
    </w:p>
    <w:p w14:paraId="26D92DD2" w14:textId="0D53B32F" w:rsidR="000F53E0" w:rsidRPr="00A13B14" w:rsidRDefault="000F53E0" w:rsidP="00A13B14">
      <w:pPr>
        <w:pStyle w:val="Testo1"/>
        <w:ind w:firstLine="0"/>
        <w:rPr>
          <w:i/>
          <w:iCs/>
        </w:rPr>
      </w:pPr>
      <w:r w:rsidRPr="00A13B14">
        <w:rPr>
          <w:i/>
          <w:iCs/>
        </w:rPr>
        <w:t xml:space="preserve">Per la parte Sales </w:t>
      </w:r>
      <w:r w:rsidR="006A7D8F" w:rsidRPr="00A13B14">
        <w:rPr>
          <w:i/>
          <w:iCs/>
        </w:rPr>
        <w:t xml:space="preserve">&amp; Account </w:t>
      </w:r>
      <w:r w:rsidRPr="00A13B14">
        <w:rPr>
          <w:i/>
          <w:iCs/>
        </w:rPr>
        <w:t>management:</w:t>
      </w:r>
    </w:p>
    <w:p w14:paraId="1486F3FD" w14:textId="1CDDD07E" w:rsidR="000F53E0" w:rsidRPr="00FF3C94" w:rsidRDefault="000F53E0" w:rsidP="00FF3C94">
      <w:pPr>
        <w:pStyle w:val="Testo1"/>
        <w:spacing w:before="0"/>
      </w:pPr>
      <w:r w:rsidRPr="00FF3C94">
        <w:t>I</w:t>
      </w:r>
      <w:r w:rsidR="001136DE" w:rsidRPr="00FF3C94">
        <w:t>l docente caricherà il materiale didattico necessario su Blackboard prima dell’inizio del corso.</w:t>
      </w:r>
    </w:p>
    <w:p w14:paraId="428FF1F1" w14:textId="55C3AA8C" w:rsidR="00452DA1" w:rsidRPr="00FF3C94" w:rsidRDefault="00B831B9" w:rsidP="00FF3C94">
      <w:pPr>
        <w:pStyle w:val="Testo1"/>
        <w:spacing w:before="0"/>
      </w:pPr>
      <w:r w:rsidRPr="00FF3C94">
        <w:t>Slides</w:t>
      </w:r>
      <w:r w:rsidR="00AA45E0" w:rsidRPr="00FF3C94">
        <w:t>,</w:t>
      </w:r>
      <w:r w:rsidR="001B4ADB" w:rsidRPr="00FF3C94">
        <w:t xml:space="preserve"> letture integrative</w:t>
      </w:r>
      <w:r w:rsidR="00316912" w:rsidRPr="00FF3C94">
        <w:t xml:space="preserve"> e casi</w:t>
      </w:r>
      <w:r w:rsidR="00AA45E0" w:rsidRPr="00FF3C94">
        <w:t xml:space="preserve"> di supporto allo studio saranno </w:t>
      </w:r>
      <w:r w:rsidR="000B0FF4" w:rsidRPr="00FF3C94">
        <w:t xml:space="preserve">caricati </w:t>
      </w:r>
      <w:r w:rsidR="00316912" w:rsidRPr="00FF3C94">
        <w:t>su</w:t>
      </w:r>
      <w:r w:rsidR="000B0FF4" w:rsidRPr="00FF3C94">
        <w:t xml:space="preserve"> B</w:t>
      </w:r>
      <w:r w:rsidRPr="00FF3C94">
        <w:t>lackboard.</w:t>
      </w:r>
    </w:p>
    <w:p w14:paraId="14CBA9EE" w14:textId="1BECAFA2" w:rsidR="006A7D8F" w:rsidRPr="00FF3C94" w:rsidRDefault="006A7D8F" w:rsidP="00FF3C94">
      <w:pPr>
        <w:pStyle w:val="Testo1"/>
        <w:spacing w:before="0"/>
      </w:pPr>
      <w:r w:rsidRPr="00FF3C94">
        <w:t xml:space="preserve">Gli studenti frequentanti verranno accompagnati nello studio dei materiali durante le lezioni anche attraverso discussioni e valutazioni in itinere. La frequenza verrà attestata in aula. Si considera frequentante lo studente che è presente in aula per almeno l’80% delle ore di lezione. </w:t>
      </w:r>
    </w:p>
    <w:p w14:paraId="689F8F9B" w14:textId="38298F5F" w:rsidR="006A7D8F" w:rsidRPr="00FF3C94" w:rsidRDefault="006A7D8F" w:rsidP="00FF3C94">
      <w:pPr>
        <w:pStyle w:val="Testo1"/>
        <w:spacing w:before="0"/>
      </w:pPr>
      <w:r w:rsidRPr="00FF3C94">
        <w:t>Gli studenti non frequentanti dovranno studiare l’intero libro e tutti i materiali caricati per la parte Sales &amp; Account Management nonché tutti i materiali caricati su blackboard.</w:t>
      </w:r>
    </w:p>
    <w:p w14:paraId="512A006B" w14:textId="5A767722" w:rsidR="00B831B9" w:rsidRPr="00D90449" w:rsidRDefault="00B831B9" w:rsidP="00D90449">
      <w:pPr>
        <w:tabs>
          <w:tab w:val="center" w:pos="3345"/>
        </w:tabs>
        <w:spacing w:before="240" w:after="120" w:line="240" w:lineRule="auto"/>
        <w:rPr>
          <w:b/>
          <w:i/>
          <w:sz w:val="18"/>
          <w:szCs w:val="18"/>
        </w:rPr>
      </w:pPr>
      <w:r w:rsidRPr="00D90449">
        <w:rPr>
          <w:b/>
          <w:i/>
          <w:sz w:val="18"/>
          <w:szCs w:val="18"/>
        </w:rPr>
        <w:t>DIDATTICA DEL CORSO</w:t>
      </w:r>
    </w:p>
    <w:p w14:paraId="165E6F11" w14:textId="5D2F2A98" w:rsidR="00452DA1" w:rsidRPr="00FF3C94" w:rsidRDefault="00B831B9" w:rsidP="00FF3C94">
      <w:pPr>
        <w:pStyle w:val="Testo2"/>
      </w:pPr>
      <w:r w:rsidRPr="00FF3C94">
        <w:t>Lezioni interattive, discussioni di casi studio, testimonianze aziendali</w:t>
      </w:r>
      <w:r w:rsidR="003312C5" w:rsidRPr="00FF3C94">
        <w:t>, progetti di gruppo</w:t>
      </w:r>
      <w:r w:rsidRPr="00FF3C94">
        <w:t xml:space="preserve">. </w:t>
      </w:r>
    </w:p>
    <w:p w14:paraId="7D0EF08D" w14:textId="27417CD3" w:rsidR="00B831B9" w:rsidRPr="00D90449" w:rsidRDefault="00B831B9" w:rsidP="00D90449">
      <w:pPr>
        <w:spacing w:before="240" w:after="120" w:line="240" w:lineRule="auto"/>
        <w:rPr>
          <w:b/>
          <w:i/>
          <w:sz w:val="18"/>
          <w:szCs w:val="18"/>
        </w:rPr>
      </w:pPr>
      <w:r w:rsidRPr="00D90449">
        <w:rPr>
          <w:b/>
          <w:i/>
          <w:sz w:val="18"/>
          <w:szCs w:val="18"/>
        </w:rPr>
        <w:lastRenderedPageBreak/>
        <w:t>METODO E CRITERI DI VALUTAZIONE</w:t>
      </w:r>
    </w:p>
    <w:p w14:paraId="5511F2B9" w14:textId="77777777" w:rsidR="007E132F" w:rsidRPr="00D90449" w:rsidRDefault="007E132F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 xml:space="preserve">La prova d’esame è in forma scritta. Essa si compone di domande aperte e domande specifiche. Attraverso le domande aperte vengono valutate la capacità dello studente di svolgere ragionamenti complessi sulle tematiche del programma e la capacità di applicare concetti e modelli interpretativi e gestionali a casi concreti. Con le domande specifiche si valuta il livello di approfondimento dello studio e l’acquisizione dei concetti principali. </w:t>
      </w:r>
    </w:p>
    <w:p w14:paraId="5BB1FD15" w14:textId="4AA5FA2C" w:rsidR="00425387" w:rsidRPr="00D90449" w:rsidRDefault="00425387" w:rsidP="00D90449">
      <w:pPr>
        <w:spacing w:line="240" w:lineRule="auto"/>
        <w:ind w:firstLine="284"/>
        <w:rPr>
          <w:sz w:val="18"/>
          <w:szCs w:val="20"/>
        </w:rPr>
      </w:pPr>
      <w:r w:rsidRPr="00D90449">
        <w:rPr>
          <w:b/>
          <w:i/>
          <w:sz w:val="18"/>
          <w:szCs w:val="20"/>
        </w:rPr>
        <w:t>Progetto di gruppo</w:t>
      </w:r>
    </w:p>
    <w:p w14:paraId="5646FFC5" w14:textId="617C7E34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 xml:space="preserve">Agli studenti </w:t>
      </w:r>
      <w:r w:rsidR="006A7D8F">
        <w:rPr>
          <w:noProof/>
          <w:sz w:val="18"/>
          <w:szCs w:val="20"/>
        </w:rPr>
        <w:t xml:space="preserve">frequentanti </w:t>
      </w:r>
      <w:r w:rsidRPr="00D90449">
        <w:rPr>
          <w:noProof/>
          <w:sz w:val="18"/>
          <w:szCs w:val="20"/>
        </w:rPr>
        <w:t xml:space="preserve">verrà data la possibilità di partecipare ad un progetto di gruppo. Tale attività è incoraggiata dall’Università Cattolica per diversi motivi: fornisce un’opportunità per sviluppare e migliorare le capacità interpersonali, di comunicazione, di leadership, di followership simulando un contesto di problem solving in ambito lavorativo. </w:t>
      </w:r>
    </w:p>
    <w:p w14:paraId="7CCF0D0B" w14:textId="77777777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>L’attività verterà sull’elaborazione di un progetto lanciato da un’azienda.</w:t>
      </w:r>
    </w:p>
    <w:p w14:paraId="5AD634CC" w14:textId="623E95C0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 xml:space="preserve">Gli studenti che decidono di partecipare a questa attività dovranno organizzarsi in maniera autonoma in gruppi composti da min </w:t>
      </w:r>
      <w:r w:rsidR="00D60657">
        <w:rPr>
          <w:noProof/>
          <w:sz w:val="18"/>
          <w:szCs w:val="20"/>
        </w:rPr>
        <w:t>5</w:t>
      </w:r>
      <w:r w:rsidRPr="00D90449">
        <w:rPr>
          <w:noProof/>
          <w:sz w:val="18"/>
          <w:szCs w:val="20"/>
        </w:rPr>
        <w:t xml:space="preserve"> e max </w:t>
      </w:r>
      <w:r w:rsidR="009A1E0E">
        <w:rPr>
          <w:noProof/>
          <w:sz w:val="18"/>
          <w:szCs w:val="20"/>
        </w:rPr>
        <w:t>6</w:t>
      </w:r>
      <w:r w:rsidRPr="00D90449">
        <w:rPr>
          <w:noProof/>
          <w:sz w:val="18"/>
          <w:szCs w:val="20"/>
        </w:rPr>
        <w:t xml:space="preserve"> membri ciascuno</w:t>
      </w:r>
      <w:r w:rsidR="007448E2" w:rsidRPr="00D90449">
        <w:rPr>
          <w:noProof/>
          <w:sz w:val="18"/>
          <w:szCs w:val="20"/>
        </w:rPr>
        <w:t>.</w:t>
      </w:r>
    </w:p>
    <w:p w14:paraId="70A68A20" w14:textId="7BC834FE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>Il lavoro (report e presentazione) di ogni gruppo verrà valutato da</w:t>
      </w:r>
      <w:r w:rsidR="006A0877" w:rsidRPr="00D90449">
        <w:rPr>
          <w:noProof/>
          <w:sz w:val="18"/>
          <w:szCs w:val="20"/>
        </w:rPr>
        <w:t>i</w:t>
      </w:r>
      <w:r w:rsidRPr="00D90449">
        <w:rPr>
          <w:noProof/>
          <w:sz w:val="18"/>
          <w:szCs w:val="20"/>
        </w:rPr>
        <w:t xml:space="preserve"> docenti in un range tra </w:t>
      </w:r>
      <w:r w:rsidR="00053372" w:rsidRPr="00D90449">
        <w:rPr>
          <w:noProof/>
          <w:sz w:val="18"/>
          <w:szCs w:val="20"/>
        </w:rPr>
        <w:t xml:space="preserve">0 e </w:t>
      </w:r>
      <w:r w:rsidRPr="00D90449">
        <w:rPr>
          <w:noProof/>
          <w:sz w:val="18"/>
          <w:szCs w:val="20"/>
        </w:rPr>
        <w:t>+</w:t>
      </w:r>
      <w:r w:rsidR="00053372" w:rsidRPr="00D90449">
        <w:rPr>
          <w:noProof/>
          <w:sz w:val="18"/>
          <w:szCs w:val="20"/>
        </w:rPr>
        <w:t>2</w:t>
      </w:r>
      <w:r w:rsidRPr="00D90449">
        <w:rPr>
          <w:noProof/>
          <w:sz w:val="18"/>
          <w:szCs w:val="20"/>
        </w:rPr>
        <w:t xml:space="preserve"> punt</w:t>
      </w:r>
      <w:r w:rsidR="00053372" w:rsidRPr="00D90449">
        <w:rPr>
          <w:noProof/>
          <w:sz w:val="18"/>
          <w:szCs w:val="20"/>
        </w:rPr>
        <w:t>i</w:t>
      </w:r>
      <w:r w:rsidRPr="00D90449">
        <w:rPr>
          <w:noProof/>
          <w:sz w:val="18"/>
          <w:szCs w:val="20"/>
        </w:rPr>
        <w:t xml:space="preserve"> rispetto al voto finale.</w:t>
      </w:r>
    </w:p>
    <w:p w14:paraId="400DCFA2" w14:textId="7D8FE238" w:rsidR="00425387" w:rsidRPr="00D90449" w:rsidRDefault="00425387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 xml:space="preserve">Il gruppo o i 2 gruppi migliori avranno l’opportunità di presentare il proprio progetto all’azienda/e promotrice/i dell’iniziativa. </w:t>
      </w:r>
    </w:p>
    <w:p w14:paraId="4B334D13" w14:textId="4373FCD8" w:rsidR="00452DA1" w:rsidRPr="00D90449" w:rsidRDefault="007E132F" w:rsidP="00D90449">
      <w:pPr>
        <w:spacing w:line="240" w:lineRule="auto"/>
        <w:ind w:firstLine="284"/>
        <w:rPr>
          <w:noProof/>
          <w:sz w:val="18"/>
          <w:szCs w:val="20"/>
        </w:rPr>
      </w:pPr>
      <w:r w:rsidRPr="00D90449">
        <w:rPr>
          <w:noProof/>
          <w:sz w:val="18"/>
          <w:szCs w:val="20"/>
        </w:rPr>
        <w:t>Ulteriori indicazioni verranno pubblicate su Blackboard e comunicate in aula all’inizio del corso</w:t>
      </w:r>
      <w:r w:rsidR="001551B8" w:rsidRPr="00D90449">
        <w:rPr>
          <w:noProof/>
          <w:sz w:val="18"/>
          <w:szCs w:val="20"/>
        </w:rPr>
        <w:t>.</w:t>
      </w:r>
    </w:p>
    <w:p w14:paraId="0430898D" w14:textId="3FD78C6F" w:rsidR="00B831B9" w:rsidRPr="00D90449" w:rsidRDefault="00B831B9" w:rsidP="00D90449">
      <w:pPr>
        <w:spacing w:before="240" w:after="120" w:line="240" w:lineRule="auto"/>
        <w:rPr>
          <w:b/>
          <w:i/>
          <w:sz w:val="18"/>
          <w:szCs w:val="18"/>
        </w:rPr>
      </w:pPr>
      <w:r w:rsidRPr="00D90449">
        <w:rPr>
          <w:b/>
          <w:i/>
          <w:sz w:val="18"/>
          <w:szCs w:val="18"/>
        </w:rPr>
        <w:t>AVVERTENZE E PREREQUISITI</w:t>
      </w:r>
    </w:p>
    <w:p w14:paraId="55199F8B" w14:textId="77777777" w:rsidR="00B831B9" w:rsidRPr="00D90449" w:rsidRDefault="00B831B9" w:rsidP="00D90449">
      <w:pPr>
        <w:pStyle w:val="Testo2"/>
        <w:spacing w:line="240" w:lineRule="auto"/>
        <w:rPr>
          <w:rFonts w:ascii="Times New Roman" w:hAnsi="Times New Roman"/>
        </w:rPr>
      </w:pPr>
      <w:r w:rsidRPr="00D90449">
        <w:rPr>
          <w:rFonts w:ascii="Times New Roman" w:hAnsi="Times New Roman"/>
        </w:rPr>
        <w:t>Si consiglia vivamente la frequenza al corso e una partecipazione attiva alle lezioni.</w:t>
      </w:r>
    </w:p>
    <w:p w14:paraId="530A6F9C" w14:textId="77777777" w:rsidR="00B831B9" w:rsidRPr="00D90449" w:rsidRDefault="00B831B9" w:rsidP="00D90449">
      <w:pPr>
        <w:pStyle w:val="Testo2"/>
        <w:spacing w:line="240" w:lineRule="auto"/>
        <w:rPr>
          <w:rFonts w:ascii="Times New Roman" w:hAnsi="Times New Roman"/>
        </w:rPr>
      </w:pPr>
      <w:r w:rsidRPr="00D90449">
        <w:rPr>
          <w:rFonts w:ascii="Times New Roman" w:hAnsi="Times New Roman"/>
        </w:rPr>
        <w:t>Nelle pagine dei docenti sono indicati l’orario di ricevimento e la modalità di richiesta tesi in marketing</w:t>
      </w:r>
    </w:p>
    <w:p w14:paraId="21DC9009" w14:textId="38315309" w:rsidR="00452DA1" w:rsidRDefault="00A13B14" w:rsidP="00D90449">
      <w:pPr>
        <w:pStyle w:val="Testo2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È</w:t>
      </w:r>
      <w:r w:rsidR="00B831B9" w:rsidRPr="00D90449">
        <w:rPr>
          <w:rFonts w:ascii="Times New Roman" w:hAnsi="Times New Roman"/>
        </w:rPr>
        <w:t xml:space="preserve"> consigliato il ripasso di un testo di base di Marketing Management.</w:t>
      </w:r>
    </w:p>
    <w:p w14:paraId="18D8B169" w14:textId="77777777" w:rsidR="000A0612" w:rsidRPr="00D8338D" w:rsidRDefault="000A0612" w:rsidP="000A0612">
      <w:pPr>
        <w:spacing w:before="120"/>
        <w:ind w:firstLine="284"/>
        <w:rPr>
          <w:bCs/>
          <w:i/>
          <w:sz w:val="18"/>
        </w:rPr>
      </w:pPr>
      <w:r>
        <w:rPr>
          <w:bCs/>
          <w:i/>
          <w:sz w:val="18"/>
        </w:rPr>
        <w:t>O</w:t>
      </w:r>
      <w:r w:rsidRPr="00D8338D">
        <w:rPr>
          <w:bCs/>
          <w:i/>
          <w:sz w:val="18"/>
        </w:rPr>
        <w:t>rario e luogo di ricevimento degli studenti</w:t>
      </w:r>
    </w:p>
    <w:p w14:paraId="4401D81D" w14:textId="77777777" w:rsidR="000A0612" w:rsidRPr="00BB1730" w:rsidRDefault="000A0612" w:rsidP="000A0612">
      <w:pPr>
        <w:spacing w:line="240" w:lineRule="auto"/>
        <w:ind w:firstLine="284"/>
        <w:rPr>
          <w:rFonts w:cs="Times"/>
          <w:noProof/>
          <w:sz w:val="18"/>
          <w:szCs w:val="20"/>
        </w:rPr>
      </w:pPr>
      <w:r w:rsidRPr="00BB1730">
        <w:rPr>
          <w:rFonts w:cs="Times"/>
          <w:noProof/>
          <w:sz w:val="18"/>
          <w:szCs w:val="20"/>
        </w:rPr>
        <w:t>I docenti ricevono gli studenti su appuntam</w:t>
      </w:r>
      <w:r>
        <w:rPr>
          <w:rFonts w:cs="Times"/>
          <w:noProof/>
          <w:sz w:val="18"/>
          <w:szCs w:val="20"/>
        </w:rPr>
        <w:t xml:space="preserve">ento. </w:t>
      </w:r>
      <w:r w:rsidRPr="00BB1730">
        <w:rPr>
          <w:rFonts w:cs="Times"/>
          <w:noProof/>
          <w:sz w:val="18"/>
          <w:szCs w:val="20"/>
        </w:rPr>
        <w:t>Si prega inviare mail ai seguenti indiri</w:t>
      </w:r>
      <w:r>
        <w:rPr>
          <w:rFonts w:cs="Times"/>
          <w:noProof/>
          <w:sz w:val="18"/>
          <w:szCs w:val="20"/>
        </w:rPr>
        <w:t xml:space="preserve">zzi: </w:t>
      </w:r>
      <w:hyperlink r:id="rId11" w:history="1">
        <w:r w:rsidRPr="00BB1730">
          <w:rPr>
            <w:rFonts w:cs="Times"/>
            <w:noProof/>
            <w:color w:val="0563C1" w:themeColor="hyperlink"/>
            <w:sz w:val="18"/>
            <w:szCs w:val="20"/>
            <w:u w:val="single"/>
          </w:rPr>
          <w:t>annalisa.tunisini@unicatt.it</w:t>
        </w:r>
      </w:hyperlink>
      <w:r w:rsidRPr="00BB1730">
        <w:rPr>
          <w:rFonts w:cs="Times"/>
          <w:noProof/>
          <w:sz w:val="18"/>
          <w:szCs w:val="20"/>
        </w:rPr>
        <w:t xml:space="preserve"> o </w:t>
      </w:r>
      <w:hyperlink r:id="rId12" w:history="1">
        <w:r w:rsidRPr="00BB1730">
          <w:rPr>
            <w:rFonts w:cs="Times"/>
            <w:noProof/>
            <w:color w:val="0563C1" w:themeColor="hyperlink"/>
            <w:sz w:val="18"/>
            <w:szCs w:val="20"/>
            <w:u w:val="single"/>
          </w:rPr>
          <w:t>clementemaria.bottani@unicatt.it</w:t>
        </w:r>
      </w:hyperlink>
      <w:r w:rsidRPr="00BB1730">
        <w:rPr>
          <w:rFonts w:cs="Times"/>
          <w:noProof/>
          <w:sz w:val="18"/>
          <w:szCs w:val="20"/>
        </w:rPr>
        <w:t>.</w:t>
      </w:r>
    </w:p>
    <w:p w14:paraId="6B7F9735" w14:textId="77777777" w:rsidR="000A0612" w:rsidRPr="00D90449" w:rsidRDefault="000A0612" w:rsidP="00D90449">
      <w:pPr>
        <w:pStyle w:val="Testo2"/>
        <w:spacing w:line="240" w:lineRule="auto"/>
        <w:rPr>
          <w:rFonts w:ascii="Times New Roman" w:hAnsi="Times New Roman"/>
        </w:rPr>
      </w:pPr>
    </w:p>
    <w:sectPr w:rsidR="000A0612" w:rsidRPr="00D9044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1EC36" w14:textId="77777777" w:rsidR="00F1676E" w:rsidRDefault="00F1676E" w:rsidP="00F1676E">
      <w:pPr>
        <w:spacing w:line="240" w:lineRule="auto"/>
      </w:pPr>
      <w:r>
        <w:separator/>
      </w:r>
    </w:p>
  </w:endnote>
  <w:endnote w:type="continuationSeparator" w:id="0">
    <w:p w14:paraId="00086E8F" w14:textId="77777777" w:rsidR="00F1676E" w:rsidRDefault="00F1676E" w:rsidP="00F16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5B159" w14:textId="77777777" w:rsidR="00F1676E" w:rsidRDefault="00F1676E" w:rsidP="00F1676E">
      <w:pPr>
        <w:spacing w:line="240" w:lineRule="auto"/>
      </w:pPr>
      <w:r>
        <w:separator/>
      </w:r>
    </w:p>
  </w:footnote>
  <w:footnote w:type="continuationSeparator" w:id="0">
    <w:p w14:paraId="7E311249" w14:textId="77777777" w:rsidR="00F1676E" w:rsidRDefault="00F1676E" w:rsidP="00F1676E">
      <w:pPr>
        <w:spacing w:line="240" w:lineRule="auto"/>
      </w:pPr>
      <w:r>
        <w:continuationSeparator/>
      </w:r>
    </w:p>
  </w:footnote>
  <w:footnote w:id="1">
    <w:p w14:paraId="2521E876" w14:textId="7B8E34BF" w:rsidR="00BB5739" w:rsidRDefault="00BB573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bookmarkStart w:id="0" w:name="_Hlk138680726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1F8"/>
    <w:multiLevelType w:val="hybridMultilevel"/>
    <w:tmpl w:val="2ABA9F74"/>
    <w:lvl w:ilvl="0" w:tplc="F752C16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417A"/>
    <w:multiLevelType w:val="hybridMultilevel"/>
    <w:tmpl w:val="5F98AC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2554"/>
    <w:multiLevelType w:val="hybridMultilevel"/>
    <w:tmpl w:val="B6A08D06"/>
    <w:lvl w:ilvl="0" w:tplc="826E2332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F67DC"/>
    <w:multiLevelType w:val="hybridMultilevel"/>
    <w:tmpl w:val="6D6053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A26540"/>
    <w:multiLevelType w:val="hybridMultilevel"/>
    <w:tmpl w:val="5C024084"/>
    <w:lvl w:ilvl="0" w:tplc="25D25F3E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23856"/>
    <w:multiLevelType w:val="hybridMultilevel"/>
    <w:tmpl w:val="E78A1BA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60B2A"/>
    <w:multiLevelType w:val="hybridMultilevel"/>
    <w:tmpl w:val="0C2A2D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F7E98"/>
    <w:multiLevelType w:val="hybridMultilevel"/>
    <w:tmpl w:val="CCC88F1C"/>
    <w:lvl w:ilvl="0" w:tplc="FFA061F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97A6E"/>
    <w:multiLevelType w:val="hybridMultilevel"/>
    <w:tmpl w:val="59D003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D6A32"/>
    <w:multiLevelType w:val="hybridMultilevel"/>
    <w:tmpl w:val="541AD6E2"/>
    <w:lvl w:ilvl="0" w:tplc="55E80168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36E66"/>
    <w:multiLevelType w:val="hybridMultilevel"/>
    <w:tmpl w:val="1E4C8B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FB7992"/>
    <w:multiLevelType w:val="hybridMultilevel"/>
    <w:tmpl w:val="4A143D98"/>
    <w:lvl w:ilvl="0" w:tplc="C040D43A">
      <w:numFmt w:val="bullet"/>
      <w:lvlText w:val="–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995850">
    <w:abstractNumId w:val="3"/>
  </w:num>
  <w:num w:numId="2" w16cid:durableId="1073893255">
    <w:abstractNumId w:val="5"/>
  </w:num>
  <w:num w:numId="3" w16cid:durableId="151025415">
    <w:abstractNumId w:val="7"/>
  </w:num>
  <w:num w:numId="4" w16cid:durableId="1123236064">
    <w:abstractNumId w:val="8"/>
  </w:num>
  <w:num w:numId="5" w16cid:durableId="315452492">
    <w:abstractNumId w:val="0"/>
  </w:num>
  <w:num w:numId="6" w16cid:durableId="372772599">
    <w:abstractNumId w:val="4"/>
  </w:num>
  <w:num w:numId="7" w16cid:durableId="890072016">
    <w:abstractNumId w:val="9"/>
  </w:num>
  <w:num w:numId="8" w16cid:durableId="1887831828">
    <w:abstractNumId w:val="2"/>
  </w:num>
  <w:num w:numId="9" w16cid:durableId="1551529690">
    <w:abstractNumId w:val="1"/>
  </w:num>
  <w:num w:numId="10" w16cid:durableId="1808475467">
    <w:abstractNumId w:val="11"/>
  </w:num>
  <w:num w:numId="11" w16cid:durableId="929386878">
    <w:abstractNumId w:val="10"/>
  </w:num>
  <w:num w:numId="12" w16cid:durableId="15074073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F7A"/>
    <w:rsid w:val="00053372"/>
    <w:rsid w:val="000A0612"/>
    <w:rsid w:val="000B0FF4"/>
    <w:rsid w:val="000B591F"/>
    <w:rsid w:val="000D16B2"/>
    <w:rsid w:val="000E2E31"/>
    <w:rsid w:val="000F53E0"/>
    <w:rsid w:val="001136DE"/>
    <w:rsid w:val="001551B8"/>
    <w:rsid w:val="00187B99"/>
    <w:rsid w:val="001B4ADB"/>
    <w:rsid w:val="002014DD"/>
    <w:rsid w:val="00214F45"/>
    <w:rsid w:val="002B733A"/>
    <w:rsid w:val="002D5E17"/>
    <w:rsid w:val="002F2EC5"/>
    <w:rsid w:val="00316912"/>
    <w:rsid w:val="003312C5"/>
    <w:rsid w:val="00392669"/>
    <w:rsid w:val="003A4572"/>
    <w:rsid w:val="00421CBC"/>
    <w:rsid w:val="00425387"/>
    <w:rsid w:val="00452DA1"/>
    <w:rsid w:val="00490325"/>
    <w:rsid w:val="004D1217"/>
    <w:rsid w:val="004D6008"/>
    <w:rsid w:val="00543E89"/>
    <w:rsid w:val="005E4AC7"/>
    <w:rsid w:val="005F253D"/>
    <w:rsid w:val="006141DA"/>
    <w:rsid w:val="00640794"/>
    <w:rsid w:val="00670925"/>
    <w:rsid w:val="00694E2E"/>
    <w:rsid w:val="006A0877"/>
    <w:rsid w:val="006A7D8F"/>
    <w:rsid w:val="006F1772"/>
    <w:rsid w:val="006F3A86"/>
    <w:rsid w:val="00730905"/>
    <w:rsid w:val="007448E2"/>
    <w:rsid w:val="007860DA"/>
    <w:rsid w:val="007E132F"/>
    <w:rsid w:val="00827B48"/>
    <w:rsid w:val="00880AE5"/>
    <w:rsid w:val="008942E7"/>
    <w:rsid w:val="008A1204"/>
    <w:rsid w:val="008B7590"/>
    <w:rsid w:val="00900CCA"/>
    <w:rsid w:val="0092409F"/>
    <w:rsid w:val="00924B77"/>
    <w:rsid w:val="00940DA2"/>
    <w:rsid w:val="009A1E0E"/>
    <w:rsid w:val="009E055C"/>
    <w:rsid w:val="00A13B14"/>
    <w:rsid w:val="00A41F6E"/>
    <w:rsid w:val="00A709B4"/>
    <w:rsid w:val="00A74F6F"/>
    <w:rsid w:val="00AA45E0"/>
    <w:rsid w:val="00AD7557"/>
    <w:rsid w:val="00B26291"/>
    <w:rsid w:val="00B50C5D"/>
    <w:rsid w:val="00B51253"/>
    <w:rsid w:val="00B525CC"/>
    <w:rsid w:val="00B67121"/>
    <w:rsid w:val="00B831B9"/>
    <w:rsid w:val="00BB5739"/>
    <w:rsid w:val="00BC52B9"/>
    <w:rsid w:val="00C015DA"/>
    <w:rsid w:val="00C40F7A"/>
    <w:rsid w:val="00C72A56"/>
    <w:rsid w:val="00CB64F7"/>
    <w:rsid w:val="00CC7CCA"/>
    <w:rsid w:val="00D156CB"/>
    <w:rsid w:val="00D404F2"/>
    <w:rsid w:val="00D60657"/>
    <w:rsid w:val="00D90449"/>
    <w:rsid w:val="00E2576B"/>
    <w:rsid w:val="00E607E6"/>
    <w:rsid w:val="00F1676E"/>
    <w:rsid w:val="00F33354"/>
    <w:rsid w:val="00FD096C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D2EE"/>
  <w15:docId w15:val="{7312F22C-FA21-49F0-98AE-4E89BEF4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B831B9"/>
    <w:pPr>
      <w:tabs>
        <w:tab w:val="clear" w:pos="284"/>
      </w:tabs>
      <w:spacing w:line="276" w:lineRule="auto"/>
      <w:ind w:left="720"/>
      <w:contextualSpacing/>
    </w:pPr>
    <w:rPr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F1676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1676E"/>
  </w:style>
  <w:style w:type="character" w:styleId="Rimandonotaapidipagina">
    <w:name w:val="footnote reference"/>
    <w:basedOn w:val="Carpredefinitoparagrafo"/>
    <w:rsid w:val="00F1676E"/>
    <w:rPr>
      <w:vertAlign w:val="superscript"/>
    </w:rPr>
  </w:style>
  <w:style w:type="character" w:styleId="Collegamentoipertestuale">
    <w:name w:val="Hyperlink"/>
    <w:basedOn w:val="Carpredefinitoparagrafo"/>
    <w:rsid w:val="00F1676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3312C5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B5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mentemaria.bottani@unicatt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alisa.tunisini@unicatt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345d43a-acc9-4ada-9435-a3456e481d8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C58D0DF0B4254E810C7E2CD462B48D" ma:contentTypeVersion="9" ma:contentTypeDescription="Creare un nuovo documento." ma:contentTypeScope="" ma:versionID="551f109ef23faccaf4be9115d7a3e012">
  <xsd:schema xmlns:xsd="http://www.w3.org/2001/XMLSchema" xmlns:xs="http://www.w3.org/2001/XMLSchema" xmlns:p="http://schemas.microsoft.com/office/2006/metadata/properties" xmlns:ns3="4345d43a-acc9-4ada-9435-a3456e481d8c" xmlns:ns4="03aaa1a9-d627-43d8-9c25-125d861f1890" targetNamespace="http://schemas.microsoft.com/office/2006/metadata/properties" ma:root="true" ma:fieldsID="9925e2c6db6279023d08e7cb8e807f6b" ns3:_="" ns4:_="">
    <xsd:import namespace="4345d43a-acc9-4ada-9435-a3456e481d8c"/>
    <xsd:import namespace="03aaa1a9-d627-43d8-9c25-125d861f18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5d43a-acc9-4ada-9435-a3456e481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aa1a9-d627-43d8-9c25-125d861f18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ECBB8-A620-4D1E-83C5-1D97BBFC49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6D0504-DFC5-461C-B647-3A76A90BE380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4345d43a-acc9-4ada-9435-a3456e481d8c"/>
    <ds:schemaRef ds:uri="http://schemas.microsoft.com/office/infopath/2007/PartnerControls"/>
    <ds:schemaRef ds:uri="http://schemas.openxmlformats.org/package/2006/metadata/core-properties"/>
    <ds:schemaRef ds:uri="03aaa1a9-d627-43d8-9c25-125d861f1890"/>
  </ds:schemaRefs>
</ds:datastoreItem>
</file>

<file path=customXml/itemProps3.xml><?xml version="1.0" encoding="utf-8"?>
<ds:datastoreItem xmlns:ds="http://schemas.openxmlformats.org/officeDocument/2006/customXml" ds:itemID="{38B5BEB8-CB7B-4FB6-A81D-7C058766F6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F9AE25-6643-4131-86BE-EFA4A8D6A9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45d43a-acc9-4ada-9435-a3456e481d8c"/>
    <ds:schemaRef ds:uri="03aaa1a9-d627-43d8-9c25-125d861f1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892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2023-05-04T07:23:00Z</dcterms:created>
  <dcterms:modified xsi:type="dcterms:W3CDTF">2023-06-26T12:11:00Z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0x01010040C58D0DF0B4254E810C7E2CD462B48D</vt:lpwstr>
  </property>
</Properties>
</file>