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77FE" w14:textId="77777777" w:rsidR="00515F61" w:rsidRPr="00895B2D" w:rsidRDefault="00515F61" w:rsidP="00515F61">
      <w:pPr>
        <w:pStyle w:val="Titolo1"/>
      </w:pPr>
      <w:r w:rsidRPr="00895B2D">
        <w:t>Sistemi dinamici e strategie d’impresa</w:t>
      </w:r>
    </w:p>
    <w:p w14:paraId="3A0C427C" w14:textId="3EF63A11" w:rsidR="00515F61" w:rsidRPr="0019737F" w:rsidRDefault="00515F61" w:rsidP="00515F61">
      <w:pPr>
        <w:pStyle w:val="Titolo2"/>
        <w:rPr>
          <w:sz w:val="20"/>
        </w:rPr>
      </w:pPr>
      <w:r w:rsidRPr="0019737F">
        <w:rPr>
          <w:sz w:val="20"/>
        </w:rPr>
        <w:t>Prof. Luigi Geppert</w:t>
      </w:r>
      <w:r w:rsidR="00FD6401" w:rsidRPr="0019737F">
        <w:rPr>
          <w:sz w:val="20"/>
        </w:rPr>
        <w:t xml:space="preserve"> (Modulo 1)</w:t>
      </w:r>
      <w:r w:rsidRPr="0019737F">
        <w:rPr>
          <w:sz w:val="20"/>
        </w:rPr>
        <w:t>; Prof. Mauro</w:t>
      </w:r>
      <w:r w:rsidRPr="0019737F">
        <w:rPr>
          <w:i/>
          <w:sz w:val="20"/>
        </w:rPr>
        <w:t xml:space="preserve"> </w:t>
      </w:r>
      <w:r w:rsidRPr="0019737F">
        <w:rPr>
          <w:sz w:val="20"/>
        </w:rPr>
        <w:t>Bernuzzi</w:t>
      </w:r>
      <w:r w:rsidR="00FD6401" w:rsidRPr="0019737F">
        <w:rPr>
          <w:sz w:val="20"/>
        </w:rPr>
        <w:t xml:space="preserve"> (Modulo 2)</w:t>
      </w:r>
    </w:p>
    <w:p w14:paraId="035F6884" w14:textId="77777777" w:rsidR="002D5E17" w:rsidRPr="00532714" w:rsidRDefault="00515F61" w:rsidP="00515F61">
      <w:pPr>
        <w:spacing w:before="240" w:after="120" w:line="240" w:lineRule="exact"/>
        <w:rPr>
          <w:b/>
          <w:sz w:val="18"/>
          <w:szCs w:val="18"/>
        </w:rPr>
      </w:pPr>
      <w:r w:rsidRPr="00532714">
        <w:rPr>
          <w:b/>
          <w:i/>
          <w:sz w:val="18"/>
          <w:szCs w:val="18"/>
        </w:rPr>
        <w:t>OBIETTIVO DEL CORSO E RISULTATI DI APPRENDIMENTO ATTESI</w:t>
      </w:r>
    </w:p>
    <w:p w14:paraId="7E393EC8" w14:textId="77777777" w:rsidR="00515F61" w:rsidRPr="00895B2D" w:rsidRDefault="00515F61" w:rsidP="00515F61">
      <w:pPr>
        <w:rPr>
          <w:szCs w:val="20"/>
        </w:rPr>
      </w:pPr>
      <w:r w:rsidRPr="00895B2D">
        <w:rPr>
          <w:szCs w:val="20"/>
        </w:rPr>
        <w:t>L’obiettivo del corso è quello di sviluppare le conoscenze di strumenti e modelli sistemici per comprendere e analizzare al meglio l’evoluzione dinamica dei sistemi complessi, riscontrabili in ogni area di app</w:t>
      </w:r>
      <w:r w:rsidR="00CE3916" w:rsidRPr="00895B2D">
        <w:rPr>
          <w:szCs w:val="20"/>
        </w:rPr>
        <w:t>licazione delle attività umane.</w:t>
      </w:r>
    </w:p>
    <w:p w14:paraId="752A6CA6" w14:textId="77777777" w:rsidR="00515F61" w:rsidRPr="00895B2D" w:rsidRDefault="00515F61" w:rsidP="00515F61">
      <w:pPr>
        <w:rPr>
          <w:szCs w:val="20"/>
        </w:rPr>
      </w:pPr>
      <w:r w:rsidRPr="00895B2D">
        <w:rPr>
          <w:szCs w:val="20"/>
        </w:rPr>
        <w:t>In un contesto di business sempre più “dinamico”</w:t>
      </w:r>
      <w:r w:rsidR="00CE3916" w:rsidRPr="00895B2D">
        <w:rPr>
          <w:szCs w:val="20"/>
        </w:rPr>
        <w:t xml:space="preserve"> e difficilmente programmabile </w:t>
      </w:r>
      <w:r w:rsidRPr="00895B2D">
        <w:rPr>
          <w:szCs w:val="20"/>
        </w:rPr>
        <w:t>come quello attuale, il processo di definizione delle decisioni manageriali appare particolarmente complesso, risultando difficile confrontare a priori e prevedere le conseguenze delle opzioni più critiche.</w:t>
      </w:r>
    </w:p>
    <w:p w14:paraId="77970F04" w14:textId="77777777" w:rsidR="00515F61" w:rsidRPr="00895B2D" w:rsidRDefault="00515F61" w:rsidP="00515F61">
      <w:pPr>
        <w:rPr>
          <w:szCs w:val="20"/>
        </w:rPr>
      </w:pPr>
      <w:r w:rsidRPr="00895B2D">
        <w:rPr>
          <w:szCs w:val="20"/>
        </w:rPr>
        <w:t xml:space="preserve">Tale processo richiede il supporto di </w:t>
      </w:r>
      <w:r w:rsidRPr="00895B2D">
        <w:rPr>
          <w:i/>
          <w:szCs w:val="20"/>
        </w:rPr>
        <w:t xml:space="preserve">metodi analitici </w:t>
      </w:r>
      <w:r w:rsidRPr="00895B2D">
        <w:rPr>
          <w:szCs w:val="20"/>
        </w:rPr>
        <w:t xml:space="preserve">e </w:t>
      </w:r>
      <w:r w:rsidRPr="00895B2D">
        <w:rPr>
          <w:i/>
          <w:szCs w:val="20"/>
        </w:rPr>
        <w:t xml:space="preserve">tool </w:t>
      </w:r>
      <w:r w:rsidRPr="00895B2D">
        <w:rPr>
          <w:szCs w:val="20"/>
        </w:rPr>
        <w:t xml:space="preserve">per rappresentare e misurare la complessità dinamica della realtà che il manager può impiegare per migliorare e accrescere il livello di comprensione dei fenomeni. </w:t>
      </w:r>
    </w:p>
    <w:p w14:paraId="79281040" w14:textId="77777777" w:rsidR="00515F61" w:rsidRPr="00895B2D" w:rsidRDefault="00515F61" w:rsidP="00515F61">
      <w:pPr>
        <w:rPr>
          <w:szCs w:val="20"/>
        </w:rPr>
      </w:pPr>
      <w:r w:rsidRPr="00895B2D">
        <w:rPr>
          <w:szCs w:val="20"/>
        </w:rPr>
        <w:t xml:space="preserve">L’insegnamento si propone di fornire sia i </w:t>
      </w:r>
      <w:r w:rsidRPr="00895B2D">
        <w:rPr>
          <w:i/>
          <w:szCs w:val="20"/>
        </w:rPr>
        <w:t>metodi analitici</w:t>
      </w:r>
      <w:r w:rsidRPr="00895B2D">
        <w:rPr>
          <w:szCs w:val="20"/>
        </w:rPr>
        <w:t xml:space="preserve">, sia i </w:t>
      </w:r>
      <w:r w:rsidRPr="00895B2D">
        <w:rPr>
          <w:i/>
          <w:szCs w:val="20"/>
        </w:rPr>
        <w:t>metodi</w:t>
      </w:r>
      <w:r w:rsidRPr="00895B2D">
        <w:rPr>
          <w:szCs w:val="20"/>
        </w:rPr>
        <w:t xml:space="preserve"> del </w:t>
      </w:r>
      <w:r w:rsidRPr="00895B2D">
        <w:rPr>
          <w:i/>
          <w:szCs w:val="20"/>
        </w:rPr>
        <w:t>simulation modelling</w:t>
      </w:r>
      <w:r w:rsidRPr="00895B2D">
        <w:rPr>
          <w:szCs w:val="20"/>
        </w:rPr>
        <w:t>, ossia, nel contesto di questo corso, del Systems Thinking e della System Dynamics, per la concezione e la creazione di modelli di rappresentazione e simulazione, analitici o dinamici, utili per: esplorare gli effetti di decisioni strategiche a lungo termine, per valutare nuove strategie, per sviluppare e comprendere il comportamento di sistemi complessi.</w:t>
      </w:r>
    </w:p>
    <w:p w14:paraId="11045493" w14:textId="089546C3" w:rsidR="00515F61" w:rsidRPr="00895B2D" w:rsidRDefault="00DE4C73" w:rsidP="00515F61">
      <w:pPr>
        <w:rPr>
          <w:szCs w:val="20"/>
        </w:rPr>
      </w:pPr>
      <w:r w:rsidRPr="00895B2D">
        <w:rPr>
          <w:szCs w:val="20"/>
        </w:rPr>
        <w:t xml:space="preserve">In particolare, al </w:t>
      </w:r>
      <w:r w:rsidR="00515F61" w:rsidRPr="00895B2D">
        <w:rPr>
          <w:szCs w:val="20"/>
        </w:rPr>
        <w:t>termine del corso gli studenti saranno in grado di:</w:t>
      </w:r>
    </w:p>
    <w:p w14:paraId="6E2D3F7A" w14:textId="0BDAA44D" w:rsidR="00515F61" w:rsidRPr="00895B2D" w:rsidRDefault="00515F61" w:rsidP="00CE3916">
      <w:pPr>
        <w:ind w:left="284" w:hanging="284"/>
        <w:rPr>
          <w:szCs w:val="20"/>
        </w:rPr>
      </w:pPr>
      <w:r w:rsidRPr="00895B2D">
        <w:rPr>
          <w:szCs w:val="20"/>
        </w:rPr>
        <w:t>–</w:t>
      </w:r>
      <w:r w:rsidRPr="00895B2D">
        <w:rPr>
          <w:szCs w:val="20"/>
        </w:rPr>
        <w:tab/>
        <w:t>migliorare il processo di analisi e valutazione d</w:t>
      </w:r>
      <w:r w:rsidR="003E7452" w:rsidRPr="00895B2D">
        <w:rPr>
          <w:szCs w:val="20"/>
        </w:rPr>
        <w:t>ella struttura delle supply chai</w:t>
      </w:r>
      <w:r w:rsidRPr="00895B2D">
        <w:rPr>
          <w:szCs w:val="20"/>
        </w:rPr>
        <w:t>ns, delle relative strategie di strutturazione e delle potenziali politiche di business nel tempo;</w:t>
      </w:r>
    </w:p>
    <w:p w14:paraId="58E90E60" w14:textId="77777777" w:rsidR="00515F61" w:rsidRPr="00895B2D" w:rsidRDefault="00515F61" w:rsidP="00CE3916">
      <w:pPr>
        <w:ind w:left="284" w:hanging="284"/>
        <w:rPr>
          <w:szCs w:val="20"/>
        </w:rPr>
      </w:pPr>
      <w:r w:rsidRPr="00895B2D">
        <w:rPr>
          <w:szCs w:val="20"/>
        </w:rPr>
        <w:t>–</w:t>
      </w:r>
      <w:r w:rsidRPr="00895B2D">
        <w:rPr>
          <w:szCs w:val="20"/>
        </w:rPr>
        <w:tab/>
        <w:t>comprendere la complessità attraverso le strutture analitiche e le dinamiche contro-intuitive;</w:t>
      </w:r>
    </w:p>
    <w:p w14:paraId="7FD957CE" w14:textId="3CD820CF" w:rsidR="00515F61" w:rsidRPr="00895B2D" w:rsidRDefault="00515F61" w:rsidP="00CE3916">
      <w:pPr>
        <w:ind w:left="284" w:hanging="284"/>
        <w:rPr>
          <w:szCs w:val="20"/>
        </w:rPr>
      </w:pPr>
      <w:r w:rsidRPr="00895B2D">
        <w:rPr>
          <w:szCs w:val="20"/>
        </w:rPr>
        <w:t>–</w:t>
      </w:r>
      <w:r w:rsidRPr="00895B2D">
        <w:rPr>
          <w:szCs w:val="20"/>
        </w:rPr>
        <w:tab/>
        <w:t>costruire, almeno qualitativamente, opportuni micromondi dinamici</w:t>
      </w:r>
      <w:r w:rsidR="00683FB4">
        <w:rPr>
          <w:szCs w:val="20"/>
        </w:rPr>
        <w:t xml:space="preserve"> (</w:t>
      </w:r>
      <w:proofErr w:type="spellStart"/>
      <w:r w:rsidR="00683FB4" w:rsidRPr="00683FB4">
        <w:rPr>
          <w:i/>
          <w:iCs/>
          <w:szCs w:val="20"/>
        </w:rPr>
        <w:t>digital</w:t>
      </w:r>
      <w:proofErr w:type="spellEnd"/>
      <w:r w:rsidR="00683FB4" w:rsidRPr="00683FB4">
        <w:rPr>
          <w:i/>
          <w:iCs/>
          <w:szCs w:val="20"/>
        </w:rPr>
        <w:t xml:space="preserve"> twins</w:t>
      </w:r>
      <w:r w:rsidR="00683FB4">
        <w:rPr>
          <w:szCs w:val="20"/>
        </w:rPr>
        <w:t>)</w:t>
      </w:r>
      <w:r w:rsidRPr="00895B2D">
        <w:rPr>
          <w:szCs w:val="20"/>
        </w:rPr>
        <w:t xml:space="preserve"> che rappresentano altrettante situazioni per cui la “giusta” decisione manageriale diventa il fattore critico di successo;</w:t>
      </w:r>
    </w:p>
    <w:p w14:paraId="500A7F5C" w14:textId="77777777" w:rsidR="00515F61" w:rsidRPr="00895B2D" w:rsidRDefault="00515F61" w:rsidP="00515F61">
      <w:pPr>
        <w:rPr>
          <w:szCs w:val="20"/>
        </w:rPr>
      </w:pPr>
      <w:r w:rsidRPr="00895B2D">
        <w:rPr>
          <w:szCs w:val="20"/>
        </w:rPr>
        <w:t>–</w:t>
      </w:r>
      <w:r w:rsidRPr="00895B2D">
        <w:rPr>
          <w:szCs w:val="20"/>
        </w:rPr>
        <w:tab/>
        <w:t>utilizzare i paradigmi metodologici presentati per analizzare una supply chain.</w:t>
      </w:r>
    </w:p>
    <w:p w14:paraId="3DC4BA46" w14:textId="77777777" w:rsidR="00515F61" w:rsidRPr="00895B2D" w:rsidRDefault="00515F61" w:rsidP="00515F61">
      <w:pPr>
        <w:spacing w:before="120"/>
        <w:rPr>
          <w:szCs w:val="20"/>
          <w:lang w:eastAsia="en-US"/>
        </w:rPr>
      </w:pPr>
      <w:r w:rsidRPr="00895B2D">
        <w:rPr>
          <w:szCs w:val="20"/>
          <w:lang w:eastAsia="en-US"/>
        </w:rPr>
        <w:t>Alla fine del corso lo studente avrà acquisito una conoscenza teorica e applicativa dei principali strumenti e modelli che descrivono fenomeni complessi nel mondo reale.</w:t>
      </w:r>
    </w:p>
    <w:p w14:paraId="3F2ADEB4" w14:textId="77777777" w:rsidR="00515F61" w:rsidRPr="00532714" w:rsidRDefault="00515F61" w:rsidP="00515F61">
      <w:pPr>
        <w:spacing w:before="240" w:after="120" w:line="240" w:lineRule="exact"/>
        <w:rPr>
          <w:b/>
          <w:sz w:val="18"/>
          <w:szCs w:val="18"/>
        </w:rPr>
      </w:pPr>
      <w:r w:rsidRPr="00532714">
        <w:rPr>
          <w:b/>
          <w:i/>
          <w:sz w:val="18"/>
          <w:szCs w:val="18"/>
        </w:rPr>
        <w:t>PROGRAMMA DEL CORSO</w:t>
      </w:r>
    </w:p>
    <w:p w14:paraId="6AAE7FF9" w14:textId="77777777" w:rsidR="00515F61" w:rsidRPr="00895B2D" w:rsidRDefault="00515F61" w:rsidP="00515F61">
      <w:pPr>
        <w:rPr>
          <w:szCs w:val="20"/>
          <w:lang w:eastAsia="en-US"/>
        </w:rPr>
      </w:pPr>
      <w:r w:rsidRPr="00895B2D">
        <w:rPr>
          <w:szCs w:val="20"/>
          <w:lang w:eastAsia="en-US"/>
        </w:rPr>
        <w:t>Nel corso si approfondiranno due metodologie:</w:t>
      </w:r>
    </w:p>
    <w:p w14:paraId="4718855C" w14:textId="77EEE851" w:rsidR="00515F61" w:rsidRPr="00895B2D" w:rsidRDefault="00515F61" w:rsidP="00515F61">
      <w:pPr>
        <w:ind w:left="284" w:hanging="284"/>
        <w:rPr>
          <w:szCs w:val="20"/>
        </w:rPr>
      </w:pPr>
      <w:r w:rsidRPr="00895B2D">
        <w:rPr>
          <w:szCs w:val="20"/>
          <w:lang w:eastAsia="en-US"/>
        </w:rPr>
        <w:t>–</w:t>
      </w:r>
      <w:r w:rsidRPr="00895B2D">
        <w:rPr>
          <w:szCs w:val="20"/>
          <w:lang w:eastAsia="en-US"/>
        </w:rPr>
        <w:tab/>
      </w:r>
      <w:r w:rsidRPr="00895B2D">
        <w:rPr>
          <w:szCs w:val="20"/>
        </w:rPr>
        <w:t xml:space="preserve">una metodologia basata su come gli elementi costitutivi di un sistema interagiscono fra di loro per descrivere l’evoluzione nel tempo delle quantità a cui si è interessati (Modulo </w:t>
      </w:r>
      <w:r w:rsidR="00403488" w:rsidRPr="00895B2D">
        <w:rPr>
          <w:szCs w:val="20"/>
        </w:rPr>
        <w:t>1</w:t>
      </w:r>
      <w:r w:rsidRPr="00895B2D">
        <w:rPr>
          <w:szCs w:val="20"/>
        </w:rPr>
        <w:t xml:space="preserve">.) Sarà approfondita la conoscenza di una classe generale di modelli che va sotto il nome di “System Dynamics” che permette di </w:t>
      </w:r>
      <w:r w:rsidRPr="00895B2D">
        <w:rPr>
          <w:szCs w:val="20"/>
        </w:rPr>
        <w:lastRenderedPageBreak/>
        <w:t xml:space="preserve">modellare, in modo relativamente semplice, sistemi molto complessi e difficilmente trattabili matematicamente. In particolare, gli argomenti trattati nel modulo </w:t>
      </w:r>
      <w:r w:rsidR="00FD6401" w:rsidRPr="00895B2D">
        <w:rPr>
          <w:szCs w:val="20"/>
        </w:rPr>
        <w:t>1</w:t>
      </w:r>
      <w:r w:rsidRPr="00895B2D">
        <w:rPr>
          <w:szCs w:val="20"/>
        </w:rPr>
        <w:t xml:space="preserve"> riguardano:</w:t>
      </w:r>
    </w:p>
    <w:p w14:paraId="12C0E401" w14:textId="23F1C9BC" w:rsidR="00515F61" w:rsidRPr="00895B2D" w:rsidRDefault="00515F61" w:rsidP="00515F61">
      <w:pPr>
        <w:pStyle w:val="Paragrafoelenco"/>
        <w:numPr>
          <w:ilvl w:val="0"/>
          <w:numId w:val="1"/>
        </w:numPr>
        <w:ind w:hanging="436"/>
        <w:rPr>
          <w:szCs w:val="20"/>
        </w:rPr>
      </w:pPr>
      <w:r w:rsidRPr="00895B2D">
        <w:rPr>
          <w:szCs w:val="20"/>
        </w:rPr>
        <w:t xml:space="preserve">la definizione e rappresentazione dei sistemi complessi: la </w:t>
      </w:r>
      <w:r w:rsidR="003E7452" w:rsidRPr="00895B2D">
        <w:rPr>
          <w:i/>
          <w:szCs w:val="20"/>
        </w:rPr>
        <w:t>Polic</w:t>
      </w:r>
      <w:r w:rsidRPr="00895B2D">
        <w:rPr>
          <w:i/>
          <w:szCs w:val="20"/>
        </w:rPr>
        <w:t>y Resistance</w:t>
      </w:r>
      <w:r w:rsidRPr="00895B2D">
        <w:rPr>
          <w:szCs w:val="20"/>
        </w:rPr>
        <w:t>;</w:t>
      </w:r>
    </w:p>
    <w:p w14:paraId="0CF7BC14" w14:textId="77777777" w:rsidR="00515F61" w:rsidRPr="00895B2D" w:rsidRDefault="00515F61" w:rsidP="00515F61">
      <w:pPr>
        <w:pStyle w:val="Paragrafoelenco"/>
        <w:numPr>
          <w:ilvl w:val="0"/>
          <w:numId w:val="1"/>
        </w:numPr>
        <w:ind w:hanging="436"/>
        <w:rPr>
          <w:szCs w:val="20"/>
        </w:rPr>
      </w:pPr>
      <w:r w:rsidRPr="00895B2D">
        <w:rPr>
          <w:szCs w:val="20"/>
        </w:rPr>
        <w:t>i modi elementari di comportamento dinamico;</w:t>
      </w:r>
    </w:p>
    <w:p w14:paraId="16F70A35" w14:textId="77777777" w:rsidR="00515F61" w:rsidRPr="00895B2D" w:rsidRDefault="00515F61" w:rsidP="00515F61">
      <w:pPr>
        <w:pStyle w:val="Paragrafoelenco"/>
        <w:numPr>
          <w:ilvl w:val="0"/>
          <w:numId w:val="1"/>
        </w:numPr>
        <w:ind w:hanging="436"/>
        <w:rPr>
          <w:szCs w:val="20"/>
        </w:rPr>
      </w:pPr>
      <w:r w:rsidRPr="00895B2D">
        <w:rPr>
          <w:szCs w:val="20"/>
        </w:rPr>
        <w:t>i diagrammi circolari causali;</w:t>
      </w:r>
    </w:p>
    <w:p w14:paraId="1E4F5CE9" w14:textId="77777777" w:rsidR="00515F61" w:rsidRPr="00895B2D" w:rsidRDefault="00515F61" w:rsidP="00515F61">
      <w:pPr>
        <w:pStyle w:val="Paragrafoelenco"/>
        <w:numPr>
          <w:ilvl w:val="0"/>
          <w:numId w:val="1"/>
        </w:numPr>
        <w:ind w:hanging="436"/>
        <w:rPr>
          <w:szCs w:val="20"/>
        </w:rPr>
      </w:pPr>
      <w:r w:rsidRPr="00895B2D">
        <w:rPr>
          <w:szCs w:val="20"/>
        </w:rPr>
        <w:t>i diagrammi livelli e flussi;</w:t>
      </w:r>
    </w:p>
    <w:p w14:paraId="65AC1F53" w14:textId="77777777" w:rsidR="00515F61" w:rsidRPr="00895B2D" w:rsidRDefault="00515F61" w:rsidP="00515F61">
      <w:pPr>
        <w:pStyle w:val="Paragrafoelenco"/>
        <w:numPr>
          <w:ilvl w:val="0"/>
          <w:numId w:val="1"/>
        </w:numPr>
        <w:ind w:hanging="436"/>
        <w:rPr>
          <w:szCs w:val="20"/>
        </w:rPr>
      </w:pPr>
      <w:r w:rsidRPr="00895B2D">
        <w:rPr>
          <w:szCs w:val="20"/>
        </w:rPr>
        <w:t>lo “stock management problem” a 1 e 2 livelli;</w:t>
      </w:r>
    </w:p>
    <w:p w14:paraId="173A9456" w14:textId="77777777" w:rsidR="00515F61" w:rsidRPr="00895B2D" w:rsidRDefault="00515F61" w:rsidP="00515F61">
      <w:pPr>
        <w:pStyle w:val="Paragrafoelenco"/>
        <w:numPr>
          <w:ilvl w:val="0"/>
          <w:numId w:val="1"/>
        </w:numPr>
        <w:ind w:hanging="436"/>
        <w:rPr>
          <w:szCs w:val="20"/>
        </w:rPr>
      </w:pPr>
      <w:r w:rsidRPr="00895B2D">
        <w:rPr>
          <w:szCs w:val="20"/>
        </w:rPr>
        <w:t>l’equilibrio dinamico nelle supply chains: amplificazione, oscillazione, ritardo;</w:t>
      </w:r>
    </w:p>
    <w:p w14:paraId="3D597146" w14:textId="213ED2A5" w:rsidR="00515F61" w:rsidRPr="00895B2D" w:rsidRDefault="00515F61" w:rsidP="00515F61">
      <w:pPr>
        <w:pStyle w:val="Paragrafoelenco"/>
        <w:numPr>
          <w:ilvl w:val="0"/>
          <w:numId w:val="1"/>
        </w:numPr>
        <w:ind w:hanging="436"/>
        <w:rPr>
          <w:szCs w:val="20"/>
        </w:rPr>
      </w:pPr>
      <w:r w:rsidRPr="00895B2D">
        <w:rPr>
          <w:szCs w:val="20"/>
        </w:rPr>
        <w:t>casi aziendali;</w:t>
      </w:r>
    </w:p>
    <w:p w14:paraId="2D034D3D" w14:textId="1B36FFB3" w:rsidR="00FD6401" w:rsidRPr="00895B2D" w:rsidRDefault="00FD6401" w:rsidP="004D2B5E">
      <w:pPr>
        <w:tabs>
          <w:tab w:val="clear" w:pos="284"/>
        </w:tabs>
        <w:spacing w:before="120"/>
        <w:rPr>
          <w:szCs w:val="20"/>
          <w:lang w:eastAsia="en-US"/>
        </w:rPr>
      </w:pPr>
      <w:r w:rsidRPr="00895B2D">
        <w:rPr>
          <w:szCs w:val="20"/>
          <w:lang w:eastAsia="en-US"/>
        </w:rPr>
        <w:t>Il corso si articola successivamente sui fondamenti generali riguardanti la realizzazione di opportuni simulatori dinamici (micromondi) che esemplificano situazioni decisionali ricorrenti in azienda e che guardano argomenti di gestione strategica applicata a casi aziendali della Supply Chain</w:t>
      </w:r>
      <w:r w:rsidR="004D2B5E" w:rsidRPr="00895B2D">
        <w:rPr>
          <w:szCs w:val="20"/>
          <w:lang w:eastAsia="en-US"/>
        </w:rPr>
        <w:t>.</w:t>
      </w:r>
    </w:p>
    <w:p w14:paraId="0213D7F9" w14:textId="195228B8" w:rsidR="00B64240" w:rsidRPr="00F40FB8" w:rsidRDefault="004D2B5E" w:rsidP="00515F61">
      <w:pPr>
        <w:pStyle w:val="Paragrafoelenco"/>
        <w:keepNext/>
        <w:numPr>
          <w:ilvl w:val="0"/>
          <w:numId w:val="2"/>
        </w:numPr>
        <w:spacing w:before="240" w:after="120"/>
        <w:ind w:left="284" w:hanging="284"/>
        <w:rPr>
          <w:b/>
          <w:szCs w:val="20"/>
        </w:rPr>
      </w:pPr>
      <w:r w:rsidRPr="00895B2D">
        <w:rPr>
          <w:szCs w:val="20"/>
          <w:lang w:eastAsia="en-US"/>
        </w:rPr>
        <w:t>U</w:t>
      </w:r>
      <w:r w:rsidR="00403488" w:rsidRPr="00895B2D">
        <w:rPr>
          <w:szCs w:val="20"/>
          <w:lang w:eastAsia="en-US"/>
        </w:rPr>
        <w:t>na metodologia che usa matrici stocastiche per descrivere il comportamento dei sistemi nel tempo (Modulo 2). Sarà approfondita la conoscenza di una classe generale di modelli che prende il nome di “Modelli di Markov”</w:t>
      </w:r>
      <w:r w:rsidR="00F40FB8">
        <w:rPr>
          <w:szCs w:val="20"/>
          <w:lang w:eastAsia="en-US"/>
        </w:rPr>
        <w:t>.</w:t>
      </w:r>
    </w:p>
    <w:p w14:paraId="6909206E" w14:textId="792A03AD" w:rsidR="00515F61" w:rsidRPr="00532714" w:rsidRDefault="00515F61" w:rsidP="00F40FB8">
      <w:pPr>
        <w:keepNext/>
        <w:spacing w:before="240" w:after="120"/>
        <w:rPr>
          <w:b/>
          <w:sz w:val="18"/>
          <w:szCs w:val="18"/>
        </w:rPr>
      </w:pPr>
      <w:r w:rsidRPr="00532714">
        <w:rPr>
          <w:b/>
          <w:i/>
          <w:sz w:val="18"/>
          <w:szCs w:val="18"/>
        </w:rPr>
        <w:t>BIBLIOGRAFIA</w:t>
      </w:r>
      <w:r w:rsidR="00995775">
        <w:rPr>
          <w:rStyle w:val="Rimandonotaapidipagina"/>
          <w:b/>
          <w:i/>
          <w:sz w:val="18"/>
          <w:szCs w:val="18"/>
        </w:rPr>
        <w:footnoteReference w:id="1"/>
      </w:r>
    </w:p>
    <w:p w14:paraId="1E2E0E3B" w14:textId="244C3917" w:rsidR="00515F61" w:rsidRPr="00532714" w:rsidRDefault="00515F61" w:rsidP="00895B2D">
      <w:pPr>
        <w:tabs>
          <w:tab w:val="clear" w:pos="284"/>
        </w:tabs>
        <w:spacing w:before="120"/>
        <w:rPr>
          <w:sz w:val="18"/>
          <w:szCs w:val="18"/>
          <w:lang w:eastAsia="en-US"/>
        </w:rPr>
      </w:pPr>
      <w:r w:rsidRPr="00532714">
        <w:rPr>
          <w:sz w:val="18"/>
          <w:szCs w:val="18"/>
          <w:lang w:eastAsia="en-US"/>
        </w:rPr>
        <w:t xml:space="preserve">Il materiale del corso è sostanzialmente contenuto nelle dispense e nelle slides preparate  dai docenti  In entrambi i moduli sarà fornita una serie di articoli di approfondimento e una varietà di casi di simulazione strategica che esemplificano situazioni decisionali reali. </w:t>
      </w:r>
    </w:p>
    <w:p w14:paraId="5405CF27" w14:textId="38294364" w:rsidR="00515F61" w:rsidRPr="00532714" w:rsidRDefault="00515F61" w:rsidP="00515F61">
      <w:pPr>
        <w:pStyle w:val="Testo2"/>
        <w:spacing w:before="120"/>
        <w:rPr>
          <w:szCs w:val="18"/>
        </w:rPr>
      </w:pPr>
      <w:r w:rsidRPr="00532714">
        <w:rPr>
          <w:szCs w:val="18"/>
        </w:rPr>
        <w:t xml:space="preserve">Testo utilizzati (modulo </w:t>
      </w:r>
      <w:r w:rsidR="00403488" w:rsidRPr="00532714">
        <w:rPr>
          <w:szCs w:val="18"/>
        </w:rPr>
        <w:t>1</w:t>
      </w:r>
      <w:r w:rsidRPr="00532714">
        <w:rPr>
          <w:szCs w:val="18"/>
        </w:rPr>
        <w:t xml:space="preserve">): </w:t>
      </w:r>
    </w:p>
    <w:p w14:paraId="7DE8F470" w14:textId="77777777" w:rsidR="00515F61" w:rsidRPr="00532714" w:rsidRDefault="00CE3916" w:rsidP="00515F61">
      <w:pPr>
        <w:pStyle w:val="Testo2"/>
        <w:spacing w:line="240" w:lineRule="atLeast"/>
        <w:ind w:left="284" w:hanging="284"/>
        <w:rPr>
          <w:spacing w:val="-5"/>
          <w:szCs w:val="18"/>
        </w:rPr>
      </w:pPr>
      <w:r w:rsidRPr="00532714">
        <w:rPr>
          <w:smallCaps/>
          <w:szCs w:val="18"/>
        </w:rPr>
        <w:t xml:space="preserve">L. </w:t>
      </w:r>
      <w:r w:rsidR="00515F61" w:rsidRPr="00532714">
        <w:rPr>
          <w:smallCaps/>
          <w:szCs w:val="18"/>
        </w:rPr>
        <w:t>Geppert</w:t>
      </w:r>
      <w:r w:rsidRPr="00532714">
        <w:rPr>
          <w:smallCaps/>
          <w:spacing w:val="-5"/>
          <w:szCs w:val="18"/>
        </w:rPr>
        <w:t>,</w:t>
      </w:r>
      <w:r w:rsidR="00515F61" w:rsidRPr="00532714">
        <w:rPr>
          <w:i/>
          <w:spacing w:val="-5"/>
          <w:szCs w:val="18"/>
        </w:rPr>
        <w:t xml:space="preserve"> Introduzione alla Dinamica dei Sistemi: concetti generali di modellazione della complessità e applicazioni per la strategia e la gestione aziendale,</w:t>
      </w:r>
      <w:r w:rsidR="00515F61" w:rsidRPr="00532714">
        <w:rPr>
          <w:spacing w:val="-5"/>
          <w:szCs w:val="18"/>
        </w:rPr>
        <w:t xml:space="preserve"> dispense del docente pubblicate in Blackboard, 2007</w:t>
      </w:r>
      <w:r w:rsidRPr="00532714">
        <w:rPr>
          <w:spacing w:val="-5"/>
          <w:szCs w:val="18"/>
        </w:rPr>
        <w:t>.</w:t>
      </w:r>
    </w:p>
    <w:p w14:paraId="6CF674C1" w14:textId="77777777" w:rsidR="00515F61" w:rsidRPr="00532714" w:rsidRDefault="00CE3916" w:rsidP="00515F61">
      <w:pPr>
        <w:pStyle w:val="Testo2"/>
        <w:spacing w:line="240" w:lineRule="atLeast"/>
        <w:ind w:left="284" w:hanging="284"/>
        <w:rPr>
          <w:spacing w:val="-5"/>
          <w:szCs w:val="18"/>
        </w:rPr>
      </w:pPr>
      <w:r w:rsidRPr="00532714">
        <w:rPr>
          <w:smallCaps/>
          <w:szCs w:val="18"/>
        </w:rPr>
        <w:t xml:space="preserve">L. </w:t>
      </w:r>
      <w:r w:rsidR="00515F61" w:rsidRPr="00532714">
        <w:rPr>
          <w:smallCaps/>
          <w:szCs w:val="18"/>
        </w:rPr>
        <w:t>Geppert</w:t>
      </w:r>
      <w:r w:rsidR="00515F61" w:rsidRPr="00532714">
        <w:rPr>
          <w:smallCaps/>
          <w:spacing w:val="-5"/>
          <w:szCs w:val="18"/>
        </w:rPr>
        <w:t>,</w:t>
      </w:r>
      <w:r w:rsidR="00515F61" w:rsidRPr="00532714">
        <w:rPr>
          <w:i/>
          <w:spacing w:val="-5"/>
          <w:szCs w:val="18"/>
        </w:rPr>
        <w:t xml:space="preserve"> Modelli e applicazioni d’esempio,</w:t>
      </w:r>
      <w:r w:rsidR="00515F61" w:rsidRPr="00532714">
        <w:rPr>
          <w:spacing w:val="-5"/>
          <w:szCs w:val="18"/>
        </w:rPr>
        <w:t xml:space="preserve"> modelli software del docente pubblicati in Blackboard, 2011</w:t>
      </w:r>
      <w:r w:rsidRPr="00532714">
        <w:rPr>
          <w:spacing w:val="-5"/>
          <w:szCs w:val="18"/>
        </w:rPr>
        <w:t>.</w:t>
      </w:r>
    </w:p>
    <w:p w14:paraId="44BCBD4A" w14:textId="0A9B772F" w:rsidR="008E7880" w:rsidRPr="00532714" w:rsidRDefault="00E90E6F" w:rsidP="00E90E6F">
      <w:pPr>
        <w:pStyle w:val="Testo2"/>
        <w:spacing w:before="120"/>
        <w:ind w:firstLine="0"/>
        <w:rPr>
          <w:szCs w:val="18"/>
        </w:rPr>
      </w:pPr>
      <w:r w:rsidRPr="00532714">
        <w:rPr>
          <w:spacing w:val="-5"/>
          <w:szCs w:val="18"/>
        </w:rPr>
        <w:tab/>
      </w:r>
      <w:r w:rsidR="008E7880" w:rsidRPr="00532714">
        <w:rPr>
          <w:szCs w:val="18"/>
        </w:rPr>
        <w:t>Per approfondimenti</w:t>
      </w:r>
      <w:r w:rsidR="00FB7F1E" w:rsidRPr="00532714">
        <w:rPr>
          <w:szCs w:val="18"/>
        </w:rPr>
        <w:t xml:space="preserve"> (non necessari per la prova d’esame)</w:t>
      </w:r>
    </w:p>
    <w:p w14:paraId="45EA0AEC" w14:textId="77777777" w:rsidR="00515F61" w:rsidRPr="00532714" w:rsidRDefault="00515F61" w:rsidP="00515F61">
      <w:pPr>
        <w:pStyle w:val="Testo2"/>
        <w:spacing w:line="240" w:lineRule="atLeast"/>
        <w:ind w:left="284" w:hanging="284"/>
        <w:rPr>
          <w:spacing w:val="-5"/>
          <w:szCs w:val="18"/>
          <w:lang w:val="en-GB"/>
        </w:rPr>
      </w:pPr>
      <w:r w:rsidRPr="00532714">
        <w:rPr>
          <w:smallCaps/>
          <w:szCs w:val="18"/>
          <w:lang w:val="en-GB"/>
        </w:rPr>
        <w:t>Sterman</w:t>
      </w:r>
      <w:r w:rsidRPr="00532714">
        <w:rPr>
          <w:smallCaps/>
          <w:spacing w:val="-5"/>
          <w:szCs w:val="18"/>
          <w:lang w:val="en-GB"/>
        </w:rPr>
        <w:t>,</w:t>
      </w:r>
      <w:r w:rsidRPr="00532714">
        <w:rPr>
          <w:i/>
          <w:spacing w:val="-5"/>
          <w:szCs w:val="18"/>
          <w:lang w:val="en-GB"/>
        </w:rPr>
        <w:t xml:space="preserve"> John Business Dynamics: Systems Thinking and Modeling for a Complex World,</w:t>
      </w:r>
      <w:r w:rsidRPr="00532714">
        <w:rPr>
          <w:spacing w:val="-5"/>
          <w:szCs w:val="18"/>
          <w:lang w:val="en-GB"/>
        </w:rPr>
        <w:t xml:space="preserve"> Irwin McGraw-Hill, 2000</w:t>
      </w:r>
      <w:r w:rsidR="00CE3916" w:rsidRPr="00532714">
        <w:rPr>
          <w:spacing w:val="-5"/>
          <w:szCs w:val="18"/>
          <w:lang w:val="en-GB"/>
        </w:rPr>
        <w:t>.</w:t>
      </w:r>
    </w:p>
    <w:p w14:paraId="3EB1CE7C" w14:textId="77777777" w:rsidR="00515F61" w:rsidRPr="00532714" w:rsidRDefault="00515F61" w:rsidP="00515F61">
      <w:pPr>
        <w:pStyle w:val="Testo2"/>
        <w:spacing w:line="240" w:lineRule="atLeast"/>
        <w:ind w:left="284" w:hanging="284"/>
        <w:rPr>
          <w:spacing w:val="-5"/>
          <w:szCs w:val="18"/>
          <w:lang w:val="en-GB"/>
        </w:rPr>
      </w:pPr>
      <w:r w:rsidRPr="00532714">
        <w:rPr>
          <w:smallCaps/>
          <w:szCs w:val="18"/>
          <w:lang w:val="en-GB"/>
        </w:rPr>
        <w:t>Senge</w:t>
      </w:r>
      <w:r w:rsidR="00CE3916" w:rsidRPr="00532714">
        <w:rPr>
          <w:smallCaps/>
          <w:spacing w:val="-5"/>
          <w:szCs w:val="18"/>
          <w:lang w:val="en-GB"/>
        </w:rPr>
        <w:t>-M. Peter,</w:t>
      </w:r>
      <w:r w:rsidRPr="00532714">
        <w:rPr>
          <w:i/>
          <w:spacing w:val="-5"/>
          <w:szCs w:val="18"/>
          <w:lang w:val="en-GB"/>
        </w:rPr>
        <w:t xml:space="preserve"> The fifth discipline: the art and practice ofthe learning organization,</w:t>
      </w:r>
      <w:r w:rsidRPr="00532714">
        <w:rPr>
          <w:spacing w:val="-5"/>
          <w:szCs w:val="18"/>
          <w:lang w:val="en-GB"/>
        </w:rPr>
        <w:t xml:space="preserve"> DoubleDay, 1994</w:t>
      </w:r>
      <w:r w:rsidR="00CE3916" w:rsidRPr="00532714">
        <w:rPr>
          <w:spacing w:val="-5"/>
          <w:szCs w:val="18"/>
          <w:lang w:val="en-GB"/>
        </w:rPr>
        <w:t>.</w:t>
      </w:r>
    </w:p>
    <w:p w14:paraId="464B4137" w14:textId="0645CCC8" w:rsidR="00515F61" w:rsidRPr="00532714" w:rsidRDefault="00515F61" w:rsidP="0019737F">
      <w:pPr>
        <w:tabs>
          <w:tab w:val="clear" w:pos="284"/>
        </w:tabs>
        <w:spacing w:before="120"/>
        <w:rPr>
          <w:sz w:val="18"/>
          <w:szCs w:val="18"/>
          <w:lang w:eastAsia="en-US"/>
        </w:rPr>
      </w:pPr>
      <w:r w:rsidRPr="00532714">
        <w:rPr>
          <w:sz w:val="18"/>
          <w:szCs w:val="18"/>
          <w:lang w:eastAsia="en-US"/>
        </w:rPr>
        <w:lastRenderedPageBreak/>
        <w:t xml:space="preserve">Durante il corso, a supporto dei concetti presentati nel modulo 2, verranno utilizzati alcuni modelli preparati con l’opportuno software di modellazione (per esempio: iThink della iseesystems e Vensim PLE della Ventana Systems, scaricabili gratuitamente rispettivamente dai siti: www.iseesystems.com e </w:t>
      </w:r>
      <w:hyperlink r:id="rId8" w:history="1">
        <w:r w:rsidRPr="00532714">
          <w:rPr>
            <w:sz w:val="18"/>
            <w:szCs w:val="18"/>
            <w:lang w:eastAsia="en-US"/>
          </w:rPr>
          <w:t>www.vensim.com</w:t>
        </w:r>
      </w:hyperlink>
      <w:r w:rsidRPr="00532714">
        <w:rPr>
          <w:sz w:val="18"/>
          <w:szCs w:val="18"/>
          <w:lang w:eastAsia="en-US"/>
        </w:rPr>
        <w:t>).</w:t>
      </w:r>
    </w:p>
    <w:p w14:paraId="1D30C7CF" w14:textId="77777777" w:rsidR="00403488" w:rsidRPr="00532714" w:rsidRDefault="00403488" w:rsidP="00403488">
      <w:pPr>
        <w:pStyle w:val="Testo2"/>
        <w:spacing w:before="120"/>
        <w:rPr>
          <w:szCs w:val="18"/>
        </w:rPr>
      </w:pPr>
      <w:r w:rsidRPr="00532714">
        <w:rPr>
          <w:szCs w:val="18"/>
        </w:rPr>
        <w:t>Testi utilizzati (modulo 2):</w:t>
      </w:r>
    </w:p>
    <w:p w14:paraId="736E03BF" w14:textId="77777777" w:rsidR="00403488" w:rsidRPr="00532714" w:rsidRDefault="00403488" w:rsidP="00403488">
      <w:pPr>
        <w:pStyle w:val="Testo2"/>
        <w:spacing w:line="240" w:lineRule="atLeast"/>
        <w:ind w:left="284" w:hanging="284"/>
        <w:rPr>
          <w:spacing w:val="-5"/>
          <w:szCs w:val="18"/>
        </w:rPr>
      </w:pPr>
      <w:r w:rsidRPr="00532714">
        <w:rPr>
          <w:smallCaps/>
          <w:szCs w:val="18"/>
        </w:rPr>
        <w:t>M. Bernuzzi</w:t>
      </w:r>
      <w:r w:rsidRPr="00532714">
        <w:rPr>
          <w:smallCaps/>
          <w:spacing w:val="-5"/>
          <w:szCs w:val="18"/>
        </w:rPr>
        <w:t xml:space="preserve">, </w:t>
      </w:r>
      <w:r w:rsidRPr="00532714">
        <w:rPr>
          <w:spacing w:val="-5"/>
          <w:szCs w:val="18"/>
        </w:rPr>
        <w:t xml:space="preserve"> </w:t>
      </w:r>
      <w:r w:rsidRPr="00532714">
        <w:rPr>
          <w:i/>
          <w:spacing w:val="-5"/>
          <w:szCs w:val="18"/>
        </w:rPr>
        <w:t>Sistemi Dinamici Stocastici,</w:t>
      </w:r>
      <w:r w:rsidRPr="00532714">
        <w:rPr>
          <w:spacing w:val="-5"/>
          <w:szCs w:val="18"/>
        </w:rPr>
        <w:t xml:space="preserve"> dispense del docente pubblicate in Blackboard, 2018.</w:t>
      </w:r>
    </w:p>
    <w:p w14:paraId="5E92B563" w14:textId="77777777" w:rsidR="00403488" w:rsidRPr="00532714" w:rsidRDefault="00403488" w:rsidP="00403488">
      <w:pPr>
        <w:pStyle w:val="Testo2"/>
        <w:spacing w:line="240" w:lineRule="atLeast"/>
        <w:ind w:left="284" w:hanging="284"/>
        <w:rPr>
          <w:spacing w:val="-5"/>
          <w:szCs w:val="18"/>
          <w:lang w:val="en-GB"/>
        </w:rPr>
      </w:pPr>
      <w:r w:rsidRPr="00532714">
        <w:rPr>
          <w:smallCaps/>
          <w:szCs w:val="18"/>
          <w:lang w:val="en-US"/>
        </w:rPr>
        <w:t xml:space="preserve">R. M. </w:t>
      </w:r>
      <w:r w:rsidRPr="00532714">
        <w:rPr>
          <w:smallCaps/>
          <w:szCs w:val="18"/>
          <w:lang w:val="en-GB"/>
        </w:rPr>
        <w:t>Feldman</w:t>
      </w:r>
      <w:r w:rsidRPr="00532714">
        <w:rPr>
          <w:smallCaps/>
          <w:spacing w:val="-5"/>
          <w:szCs w:val="18"/>
          <w:lang w:val="en-GB"/>
        </w:rPr>
        <w:t>-C. Valdez-Flores</w:t>
      </w:r>
      <w:r w:rsidRPr="00532714">
        <w:rPr>
          <w:i/>
          <w:spacing w:val="-5"/>
          <w:szCs w:val="18"/>
          <w:lang w:val="en-GB"/>
        </w:rPr>
        <w:t>,</w:t>
      </w:r>
      <w:r w:rsidRPr="00532714">
        <w:rPr>
          <w:spacing w:val="-5"/>
          <w:szCs w:val="18"/>
          <w:lang w:val="en-GB"/>
        </w:rPr>
        <w:t xml:space="preserve"> </w:t>
      </w:r>
      <w:r w:rsidRPr="00532714">
        <w:rPr>
          <w:i/>
          <w:spacing w:val="-5"/>
          <w:szCs w:val="18"/>
          <w:lang w:val="en-GB"/>
        </w:rPr>
        <w:t>Applied Probability and Stochastic Processes</w:t>
      </w:r>
      <w:r w:rsidRPr="00532714">
        <w:rPr>
          <w:spacing w:val="-5"/>
          <w:szCs w:val="18"/>
          <w:lang w:val="en-GB"/>
        </w:rPr>
        <w:t>,  Springer, 2010.</w:t>
      </w:r>
    </w:p>
    <w:p w14:paraId="3D4592AC" w14:textId="77777777" w:rsidR="00403488" w:rsidRPr="00532714" w:rsidRDefault="00403488" w:rsidP="00403488">
      <w:pPr>
        <w:pStyle w:val="Testo2"/>
        <w:spacing w:line="240" w:lineRule="atLeast"/>
        <w:ind w:left="284" w:hanging="284"/>
        <w:rPr>
          <w:spacing w:val="-5"/>
          <w:szCs w:val="18"/>
          <w:lang w:val="en-GB"/>
        </w:rPr>
      </w:pPr>
      <w:r w:rsidRPr="00532714">
        <w:rPr>
          <w:smallCaps/>
          <w:szCs w:val="18"/>
          <w:lang w:val="en-GB"/>
        </w:rPr>
        <w:t>Pishro-Nik Hossein</w:t>
      </w:r>
      <w:r w:rsidRPr="00532714">
        <w:rPr>
          <w:smallCaps/>
          <w:spacing w:val="-5"/>
          <w:szCs w:val="18"/>
          <w:lang w:val="en-GB"/>
        </w:rPr>
        <w:t>,</w:t>
      </w:r>
      <w:r w:rsidRPr="00532714">
        <w:rPr>
          <w:i/>
          <w:spacing w:val="-5"/>
          <w:szCs w:val="18"/>
          <w:lang w:val="en-GB"/>
        </w:rPr>
        <w:t xml:space="preserve"> Introduction to Probability,</w:t>
      </w:r>
      <w:r w:rsidRPr="00532714">
        <w:rPr>
          <w:spacing w:val="-5"/>
          <w:szCs w:val="18"/>
          <w:lang w:val="en-GB"/>
        </w:rPr>
        <w:t xml:space="preserve"> </w:t>
      </w:r>
      <w:r w:rsidRPr="00532714">
        <w:rPr>
          <w:i/>
          <w:spacing w:val="-5"/>
          <w:szCs w:val="18"/>
          <w:lang w:val="en-GB"/>
        </w:rPr>
        <w:t>Statistics and Random Processes</w:t>
      </w:r>
      <w:r w:rsidRPr="00532714">
        <w:rPr>
          <w:spacing w:val="-5"/>
          <w:szCs w:val="18"/>
          <w:lang w:val="en-GB"/>
        </w:rPr>
        <w:t>, Kappa Research LLC, 2014.</w:t>
      </w:r>
    </w:p>
    <w:p w14:paraId="6D4F4B31" w14:textId="498148A6" w:rsidR="00002433" w:rsidRPr="00532714" w:rsidRDefault="00002433" w:rsidP="00002433">
      <w:pPr>
        <w:rPr>
          <w:rFonts w:ascii="Times" w:hAnsi="Times"/>
          <w:noProof/>
          <w:sz w:val="18"/>
          <w:szCs w:val="18"/>
          <w:lang w:val="en-GB"/>
        </w:rPr>
      </w:pPr>
      <w:r w:rsidRPr="00532714">
        <w:rPr>
          <w:rFonts w:ascii="Times" w:hAnsi="Times"/>
          <w:smallCaps/>
          <w:noProof/>
          <w:sz w:val="18"/>
          <w:szCs w:val="18"/>
          <w:lang w:val="en-GB"/>
        </w:rPr>
        <w:t xml:space="preserve">Privault N., </w:t>
      </w:r>
      <w:r w:rsidR="00B957D8" w:rsidRPr="00532714">
        <w:rPr>
          <w:rFonts w:ascii="Times" w:hAnsi="Times"/>
          <w:i/>
          <w:iCs/>
          <w:noProof/>
          <w:sz w:val="18"/>
          <w:szCs w:val="18"/>
          <w:lang w:val="en-GB"/>
        </w:rPr>
        <w:t>Understanding Markov Chains, Examples and Applications,</w:t>
      </w:r>
      <w:r w:rsidR="00B957D8" w:rsidRPr="00532714">
        <w:rPr>
          <w:rFonts w:ascii="Times" w:hAnsi="Times"/>
          <w:noProof/>
          <w:sz w:val="18"/>
          <w:szCs w:val="18"/>
          <w:lang w:val="en-GB"/>
        </w:rPr>
        <w:t xml:space="preserve"> </w:t>
      </w:r>
      <w:r w:rsidR="00B95961" w:rsidRPr="00532714">
        <w:rPr>
          <w:rFonts w:ascii="Times" w:hAnsi="Times"/>
          <w:noProof/>
          <w:sz w:val="18"/>
          <w:szCs w:val="18"/>
          <w:lang w:val="en-GB"/>
        </w:rPr>
        <w:t>S</w:t>
      </w:r>
      <w:r w:rsidR="00B957D8" w:rsidRPr="00532714">
        <w:rPr>
          <w:rFonts w:ascii="Times" w:hAnsi="Times"/>
          <w:noProof/>
          <w:sz w:val="18"/>
          <w:szCs w:val="18"/>
          <w:lang w:val="en-GB"/>
        </w:rPr>
        <w:t>pringer (2013)</w:t>
      </w:r>
    </w:p>
    <w:p w14:paraId="1287A44A" w14:textId="4E5E57D6" w:rsidR="00B65AC4" w:rsidRPr="00532714" w:rsidRDefault="00B65AC4" w:rsidP="00B65AC4">
      <w:pPr>
        <w:rPr>
          <w:rFonts w:ascii="Times" w:hAnsi="Times"/>
          <w:noProof/>
          <w:sz w:val="18"/>
          <w:szCs w:val="18"/>
          <w:lang w:val="en-GB"/>
        </w:rPr>
      </w:pPr>
      <w:r w:rsidRPr="00532714">
        <w:rPr>
          <w:rFonts w:ascii="Times" w:hAnsi="Times"/>
          <w:smallCaps/>
          <w:noProof/>
          <w:sz w:val="18"/>
          <w:szCs w:val="18"/>
          <w:lang w:val="en-GB"/>
        </w:rPr>
        <w:t xml:space="preserve">Singh K., </w:t>
      </w:r>
      <w:r w:rsidRPr="00532714">
        <w:rPr>
          <w:rFonts w:ascii="Times" w:hAnsi="Times"/>
          <w:i/>
          <w:iCs/>
          <w:noProof/>
          <w:sz w:val="18"/>
          <w:szCs w:val="18"/>
          <w:lang w:val="en-GB"/>
        </w:rPr>
        <w:t>Linear Algebra step by step,</w:t>
      </w:r>
      <w:r w:rsidRPr="00532714">
        <w:rPr>
          <w:rFonts w:ascii="Times" w:hAnsi="Times"/>
          <w:smallCaps/>
          <w:noProof/>
          <w:sz w:val="18"/>
          <w:szCs w:val="18"/>
          <w:lang w:val="en-GB"/>
        </w:rPr>
        <w:t xml:space="preserve"> </w:t>
      </w:r>
      <w:r w:rsidRPr="00532714">
        <w:rPr>
          <w:rFonts w:ascii="Times" w:hAnsi="Times"/>
          <w:noProof/>
          <w:sz w:val="18"/>
          <w:szCs w:val="18"/>
          <w:lang w:val="en-GB"/>
        </w:rPr>
        <w:t xml:space="preserve">0xford University Press (2014) </w:t>
      </w:r>
    </w:p>
    <w:p w14:paraId="5011B079" w14:textId="77777777" w:rsidR="00515F61" w:rsidRPr="00532714" w:rsidRDefault="00515F61" w:rsidP="00515F61">
      <w:pPr>
        <w:spacing w:before="240" w:after="120"/>
        <w:rPr>
          <w:b/>
          <w:i/>
          <w:sz w:val="18"/>
          <w:szCs w:val="18"/>
        </w:rPr>
      </w:pPr>
      <w:r w:rsidRPr="00532714">
        <w:rPr>
          <w:b/>
          <w:i/>
          <w:sz w:val="18"/>
          <w:szCs w:val="18"/>
        </w:rPr>
        <w:t>DIDATTICA DEL CORSO</w:t>
      </w:r>
    </w:p>
    <w:p w14:paraId="51ABF576" w14:textId="77777777" w:rsidR="00515F61" w:rsidRPr="00532714" w:rsidRDefault="00515F61" w:rsidP="00515F61">
      <w:pPr>
        <w:pStyle w:val="Testo2"/>
        <w:rPr>
          <w:szCs w:val="18"/>
        </w:rPr>
      </w:pPr>
      <w:r w:rsidRPr="00532714">
        <w:rPr>
          <w:szCs w:val="18"/>
        </w:rPr>
        <w:t>La didattica per entrambi i moduli, si basa su lezioni frontali di teoria e su esercitazioni svolte in aula e da svolgere a casa. Durante il corso possono essere previste testimonianze di manager che utilizzano la simulazione dinamica.</w:t>
      </w:r>
    </w:p>
    <w:p w14:paraId="4CF49219" w14:textId="77777777" w:rsidR="00515F61" w:rsidRPr="00532714" w:rsidRDefault="00515F61" w:rsidP="00515F61">
      <w:pPr>
        <w:spacing w:before="240" w:after="120"/>
        <w:rPr>
          <w:b/>
          <w:i/>
          <w:sz w:val="18"/>
          <w:szCs w:val="18"/>
        </w:rPr>
      </w:pPr>
      <w:r w:rsidRPr="00532714">
        <w:rPr>
          <w:b/>
          <w:i/>
          <w:sz w:val="18"/>
          <w:szCs w:val="18"/>
        </w:rPr>
        <w:t>METODO E CRITERI DI VALUTAZIONE</w:t>
      </w:r>
    </w:p>
    <w:p w14:paraId="5D95A7F1" w14:textId="77777777" w:rsidR="00515F61" w:rsidRPr="00532714" w:rsidRDefault="00515F61" w:rsidP="00515F61">
      <w:pPr>
        <w:pStyle w:val="Testo2"/>
        <w:rPr>
          <w:szCs w:val="18"/>
        </w:rPr>
      </w:pPr>
      <w:r w:rsidRPr="00532714">
        <w:rPr>
          <w:szCs w:val="18"/>
        </w:rPr>
        <w:t>Il processo di apprendimento viene verificato attraverso una prova d’esame finale per cui valgono le seguenti:</w:t>
      </w:r>
    </w:p>
    <w:p w14:paraId="5158A0BE" w14:textId="77777777" w:rsidR="00515F61" w:rsidRPr="00532714" w:rsidRDefault="00515F61" w:rsidP="00CE3916">
      <w:pPr>
        <w:pStyle w:val="Testo2"/>
        <w:ind w:left="704" w:hanging="420"/>
        <w:rPr>
          <w:szCs w:val="18"/>
        </w:rPr>
      </w:pPr>
      <w:r w:rsidRPr="00532714">
        <w:rPr>
          <w:szCs w:val="18"/>
        </w:rPr>
        <w:t>1.</w:t>
      </w:r>
      <w:r w:rsidRPr="00532714">
        <w:rPr>
          <w:szCs w:val="18"/>
        </w:rPr>
        <w:tab/>
        <w:t>L’esame si basa su prova scritta riguardante esercizi con risposte aperte e risposte chiuse riguardate argomenti del modulo 1 e del modulo 2.</w:t>
      </w:r>
    </w:p>
    <w:p w14:paraId="501B6AD8" w14:textId="77777777" w:rsidR="00515F61" w:rsidRPr="00532714" w:rsidRDefault="00515F61" w:rsidP="00CE3916">
      <w:pPr>
        <w:pStyle w:val="Testo2"/>
        <w:ind w:left="704" w:hanging="420"/>
        <w:rPr>
          <w:szCs w:val="18"/>
        </w:rPr>
      </w:pPr>
      <w:r w:rsidRPr="00532714">
        <w:rPr>
          <w:szCs w:val="18"/>
        </w:rPr>
        <w:t>2.</w:t>
      </w:r>
      <w:r w:rsidRPr="00532714">
        <w:rPr>
          <w:szCs w:val="18"/>
        </w:rPr>
        <w:tab/>
        <w:t>La valutazione globale è la media dei voti ottenuti relativamente agli argomenti del modulo 1 e del modulo 2. Il valore della media deve essere superioe a 18/30. Se la valutazione relativa a 1 dei 2 argomenti (modulo 1 e modulo 2) risulta inferiore a 15/30, la media non viene calcolata e l’esame non si considera superato.</w:t>
      </w:r>
    </w:p>
    <w:p w14:paraId="46DEC7CB" w14:textId="77777777" w:rsidR="00515F61" w:rsidRPr="00532714" w:rsidRDefault="00515F61" w:rsidP="00CE3916">
      <w:pPr>
        <w:pStyle w:val="Testo2"/>
        <w:ind w:left="704" w:hanging="420"/>
        <w:rPr>
          <w:szCs w:val="18"/>
        </w:rPr>
      </w:pPr>
      <w:r w:rsidRPr="00532714">
        <w:rPr>
          <w:szCs w:val="18"/>
        </w:rPr>
        <w:t>3.</w:t>
      </w:r>
      <w:r w:rsidRPr="00532714">
        <w:rPr>
          <w:szCs w:val="18"/>
        </w:rPr>
        <w:tab/>
        <w:t>Per i frequentanti, qualora prevista una prova intermedia, il voto finale dell’esame è la somma del voto acquisito nella prova scritta e del credito della prova intermedia.</w:t>
      </w:r>
    </w:p>
    <w:p w14:paraId="6BA3A317" w14:textId="77777777" w:rsidR="00515F61" w:rsidRPr="00532714" w:rsidRDefault="00515F61" w:rsidP="00515F61">
      <w:pPr>
        <w:pStyle w:val="Testo2"/>
        <w:rPr>
          <w:szCs w:val="18"/>
        </w:rPr>
      </w:pPr>
      <w:r w:rsidRPr="00532714">
        <w:rPr>
          <w:szCs w:val="18"/>
        </w:rPr>
        <w:t>4.</w:t>
      </w:r>
      <w:r w:rsidRPr="00532714">
        <w:rPr>
          <w:szCs w:val="18"/>
        </w:rPr>
        <w:tab/>
        <w:t>La modalità d’esame è invariata per tutti gli appelli.</w:t>
      </w:r>
    </w:p>
    <w:p w14:paraId="7FB49C38" w14:textId="1615C0AF" w:rsidR="00515F61" w:rsidRPr="00532714" w:rsidRDefault="00515F61" w:rsidP="00515F61">
      <w:pPr>
        <w:spacing w:before="240" w:after="120" w:line="240" w:lineRule="exact"/>
        <w:rPr>
          <w:b/>
          <w:i/>
          <w:sz w:val="18"/>
          <w:szCs w:val="18"/>
        </w:rPr>
      </w:pPr>
      <w:r w:rsidRPr="00532714">
        <w:rPr>
          <w:b/>
          <w:i/>
          <w:sz w:val="18"/>
          <w:szCs w:val="18"/>
        </w:rPr>
        <w:t>AVVERTENZE E PREREQUISITI</w:t>
      </w:r>
    </w:p>
    <w:p w14:paraId="4ED9FBB7" w14:textId="26A9E727" w:rsidR="00515F61" w:rsidRPr="0019737F" w:rsidRDefault="00515F61" w:rsidP="00532714">
      <w:pPr>
        <w:pStyle w:val="Testo2"/>
      </w:pPr>
      <w:r w:rsidRPr="0019737F">
        <w:t>Non sono richiesti prerequisiti particolari. Si consiglia vivamente la frequenza e la partecipazione attiva alle lezioni. Nella pagina del docente sono indicati l’orario di ricevimento e la modalità di richiesta tesi.</w:t>
      </w:r>
    </w:p>
    <w:p w14:paraId="5A74FFB3" w14:textId="428DBB3E" w:rsidR="00060D91" w:rsidRPr="00532714" w:rsidRDefault="00532714" w:rsidP="00532714">
      <w:pPr>
        <w:pStyle w:val="Testo2"/>
        <w:spacing w:before="120"/>
        <w:rPr>
          <w:bCs/>
          <w:i/>
        </w:rPr>
      </w:pPr>
      <w:r>
        <w:rPr>
          <w:bCs/>
          <w:i/>
        </w:rPr>
        <w:t>O</w:t>
      </w:r>
      <w:r w:rsidRPr="00532714">
        <w:rPr>
          <w:bCs/>
          <w:i/>
        </w:rPr>
        <w:t>rario e luogo di ricvimento degli studenti</w:t>
      </w:r>
    </w:p>
    <w:p w14:paraId="38CF1626" w14:textId="3AEEF6FF" w:rsidR="00AD5404" w:rsidRPr="0019737F" w:rsidRDefault="00AD5404" w:rsidP="00532714">
      <w:pPr>
        <w:pStyle w:val="Testo2"/>
      </w:pPr>
      <w:r w:rsidRPr="0019737F">
        <w:t>Appuntam</w:t>
      </w:r>
      <w:r w:rsidR="00DE4C73" w:rsidRPr="0019737F">
        <w:t>ento da concordare tramite contat</w:t>
      </w:r>
      <w:r w:rsidRPr="0019737F">
        <w:t>to via email.</w:t>
      </w:r>
    </w:p>
    <w:sectPr w:rsidR="00AD5404" w:rsidRPr="0019737F" w:rsidSect="004D1217">
      <w:headerReference w:type="even" r:id="rId9"/>
      <w:headerReference w:type="default" r:id="rId10"/>
      <w:footerReference w:type="even" r:id="rId11"/>
      <w:footerReference w:type="default" r:id="rId12"/>
      <w:headerReference w:type="first" r:id="rId13"/>
      <w:footerReference w:type="first" r:id="rId14"/>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7465" w14:textId="77777777" w:rsidR="008559F3" w:rsidRDefault="008559F3" w:rsidP="00AD5404">
      <w:pPr>
        <w:spacing w:line="240" w:lineRule="auto"/>
      </w:pPr>
      <w:r>
        <w:separator/>
      </w:r>
    </w:p>
  </w:endnote>
  <w:endnote w:type="continuationSeparator" w:id="0">
    <w:p w14:paraId="052AD323" w14:textId="77777777" w:rsidR="008559F3" w:rsidRDefault="008559F3" w:rsidP="00AD54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44A4" w14:textId="77777777" w:rsidR="00592373" w:rsidRDefault="0059237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661704"/>
      <w:docPartObj>
        <w:docPartGallery w:val="Page Numbers (Bottom of Page)"/>
        <w:docPartUnique/>
      </w:docPartObj>
    </w:sdtPr>
    <w:sdtEndPr/>
    <w:sdtContent>
      <w:p w14:paraId="3FC078B5" w14:textId="570A0366" w:rsidR="00592373" w:rsidRDefault="00592373">
        <w:pPr>
          <w:pStyle w:val="Pidipagina"/>
          <w:jc w:val="center"/>
        </w:pPr>
        <w:r>
          <w:fldChar w:fldCharType="begin"/>
        </w:r>
        <w:r>
          <w:instrText>PAGE   \* MERGEFORMAT</w:instrText>
        </w:r>
        <w:r>
          <w:fldChar w:fldCharType="separate"/>
        </w:r>
        <w:r w:rsidR="00060D91">
          <w:rPr>
            <w:noProof/>
          </w:rPr>
          <w:t>3</w:t>
        </w:r>
        <w:r>
          <w:fldChar w:fldCharType="end"/>
        </w:r>
      </w:p>
    </w:sdtContent>
  </w:sdt>
  <w:p w14:paraId="504D7B68" w14:textId="77777777" w:rsidR="00592373" w:rsidRDefault="0059237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008E" w14:textId="77777777" w:rsidR="00592373" w:rsidRDefault="005923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964A3" w14:textId="77777777" w:rsidR="008559F3" w:rsidRDefault="008559F3" w:rsidP="00AD5404">
      <w:pPr>
        <w:spacing w:line="240" w:lineRule="auto"/>
      </w:pPr>
      <w:r>
        <w:separator/>
      </w:r>
    </w:p>
  </w:footnote>
  <w:footnote w:type="continuationSeparator" w:id="0">
    <w:p w14:paraId="53172D88" w14:textId="77777777" w:rsidR="008559F3" w:rsidRDefault="008559F3" w:rsidP="00AD5404">
      <w:pPr>
        <w:spacing w:line="240" w:lineRule="auto"/>
      </w:pPr>
      <w:r>
        <w:continuationSeparator/>
      </w:r>
    </w:p>
  </w:footnote>
  <w:footnote w:id="1">
    <w:p w14:paraId="5BDBEB66" w14:textId="76F54257" w:rsidR="00995775" w:rsidRDefault="0099577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8A34" w14:textId="77777777" w:rsidR="00592373" w:rsidRDefault="0059237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25FF" w14:textId="77777777" w:rsidR="00592373" w:rsidRDefault="0059237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28FA" w14:textId="77777777" w:rsidR="00592373" w:rsidRDefault="0059237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1499A"/>
    <w:multiLevelType w:val="hybridMultilevel"/>
    <w:tmpl w:val="9B5A6A6C"/>
    <w:lvl w:ilvl="0" w:tplc="A8DEC9E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417796"/>
    <w:multiLevelType w:val="hybridMultilevel"/>
    <w:tmpl w:val="09E6FB7C"/>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9692099">
    <w:abstractNumId w:val="1"/>
  </w:num>
  <w:num w:numId="2" w16cid:durableId="1938437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NLW0MLM0NjcztzBX0lEKTi0uzszPAykwqgUAHM1x+iwAAAA="/>
  </w:docVars>
  <w:rsids>
    <w:rsidRoot w:val="004843E4"/>
    <w:rsid w:val="00002433"/>
    <w:rsid w:val="00060D91"/>
    <w:rsid w:val="001555CA"/>
    <w:rsid w:val="0017473C"/>
    <w:rsid w:val="00187B99"/>
    <w:rsid w:val="0019737F"/>
    <w:rsid w:val="002014DD"/>
    <w:rsid w:val="0026149C"/>
    <w:rsid w:val="002D5E17"/>
    <w:rsid w:val="00326EB4"/>
    <w:rsid w:val="003E7452"/>
    <w:rsid w:val="00403488"/>
    <w:rsid w:val="00472DC0"/>
    <w:rsid w:val="004843E4"/>
    <w:rsid w:val="004D1217"/>
    <w:rsid w:val="004D2B5E"/>
    <w:rsid w:val="004D6008"/>
    <w:rsid w:val="00515F61"/>
    <w:rsid w:val="00532714"/>
    <w:rsid w:val="00592373"/>
    <w:rsid w:val="00640794"/>
    <w:rsid w:val="00683FB4"/>
    <w:rsid w:val="00695BDB"/>
    <w:rsid w:val="006D738E"/>
    <w:rsid w:val="006E5B2A"/>
    <w:rsid w:val="006F1772"/>
    <w:rsid w:val="006F6964"/>
    <w:rsid w:val="0082160C"/>
    <w:rsid w:val="008559F3"/>
    <w:rsid w:val="008624A0"/>
    <w:rsid w:val="008942E7"/>
    <w:rsid w:val="00895B2D"/>
    <w:rsid w:val="008A1204"/>
    <w:rsid w:val="008E7880"/>
    <w:rsid w:val="00900CCA"/>
    <w:rsid w:val="00924B77"/>
    <w:rsid w:val="00940DA2"/>
    <w:rsid w:val="00995775"/>
    <w:rsid w:val="009E055C"/>
    <w:rsid w:val="00A37A67"/>
    <w:rsid w:val="00A74F6F"/>
    <w:rsid w:val="00AD5404"/>
    <w:rsid w:val="00AD7557"/>
    <w:rsid w:val="00B50C5D"/>
    <w:rsid w:val="00B51253"/>
    <w:rsid w:val="00B525CC"/>
    <w:rsid w:val="00B61EB9"/>
    <w:rsid w:val="00B64240"/>
    <w:rsid w:val="00B65AC4"/>
    <w:rsid w:val="00B957D8"/>
    <w:rsid w:val="00B95961"/>
    <w:rsid w:val="00BC14D9"/>
    <w:rsid w:val="00CE3916"/>
    <w:rsid w:val="00D404F2"/>
    <w:rsid w:val="00DD4D74"/>
    <w:rsid w:val="00DE4C73"/>
    <w:rsid w:val="00E607E6"/>
    <w:rsid w:val="00E90E6F"/>
    <w:rsid w:val="00F36317"/>
    <w:rsid w:val="00F40FB8"/>
    <w:rsid w:val="00FB7F1E"/>
    <w:rsid w:val="00FD64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6949F"/>
  <w15:chartTrackingRefBased/>
  <w15:docId w15:val="{D653A563-E385-4B7D-9B8B-20C245DA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15F61"/>
    <w:pPr>
      <w:tabs>
        <w:tab w:val="clear" w:pos="284"/>
      </w:tabs>
      <w:spacing w:line="240" w:lineRule="exact"/>
      <w:ind w:left="720"/>
      <w:contextualSpacing/>
    </w:pPr>
    <w:rPr>
      <w:rFonts w:eastAsia="MS Mincho"/>
    </w:rPr>
  </w:style>
  <w:style w:type="character" w:styleId="Collegamentoipertestuale">
    <w:name w:val="Hyperlink"/>
    <w:basedOn w:val="Carpredefinitoparagrafo"/>
    <w:rsid w:val="00515F61"/>
    <w:rPr>
      <w:color w:val="0563C1" w:themeColor="hyperlink"/>
      <w:u w:val="single"/>
    </w:rPr>
  </w:style>
  <w:style w:type="paragraph" w:styleId="Testonotadichiusura">
    <w:name w:val="endnote text"/>
    <w:basedOn w:val="Normale"/>
    <w:link w:val="TestonotadichiusuraCarattere"/>
    <w:rsid w:val="00AD5404"/>
    <w:pPr>
      <w:spacing w:line="240" w:lineRule="auto"/>
    </w:pPr>
    <w:rPr>
      <w:szCs w:val="20"/>
    </w:rPr>
  </w:style>
  <w:style w:type="character" w:customStyle="1" w:styleId="TestonotadichiusuraCarattere">
    <w:name w:val="Testo nota di chiusura Carattere"/>
    <w:basedOn w:val="Carpredefinitoparagrafo"/>
    <w:link w:val="Testonotadichiusura"/>
    <w:rsid w:val="00AD5404"/>
  </w:style>
  <w:style w:type="character" w:styleId="Rimandonotadichiusura">
    <w:name w:val="endnote reference"/>
    <w:basedOn w:val="Carpredefinitoparagrafo"/>
    <w:rsid w:val="00AD5404"/>
    <w:rPr>
      <w:vertAlign w:val="superscript"/>
    </w:rPr>
  </w:style>
  <w:style w:type="paragraph" w:styleId="Intestazione">
    <w:name w:val="header"/>
    <w:basedOn w:val="Normale"/>
    <w:link w:val="IntestazioneCarattere"/>
    <w:rsid w:val="00592373"/>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592373"/>
    <w:rPr>
      <w:szCs w:val="24"/>
    </w:rPr>
  </w:style>
  <w:style w:type="paragraph" w:styleId="Pidipagina">
    <w:name w:val="footer"/>
    <w:basedOn w:val="Normale"/>
    <w:link w:val="PidipaginaCarattere"/>
    <w:uiPriority w:val="99"/>
    <w:rsid w:val="00592373"/>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92373"/>
    <w:rPr>
      <w:szCs w:val="24"/>
    </w:rPr>
  </w:style>
  <w:style w:type="paragraph" w:styleId="Revisione">
    <w:name w:val="Revision"/>
    <w:hidden/>
    <w:uiPriority w:val="99"/>
    <w:semiHidden/>
    <w:rsid w:val="00A37A67"/>
    <w:rPr>
      <w:szCs w:val="24"/>
    </w:rPr>
  </w:style>
  <w:style w:type="paragraph" w:styleId="Testonotaapidipagina">
    <w:name w:val="footnote text"/>
    <w:basedOn w:val="Normale"/>
    <w:link w:val="TestonotaapidipaginaCarattere"/>
    <w:rsid w:val="00995775"/>
    <w:pPr>
      <w:spacing w:line="240" w:lineRule="auto"/>
    </w:pPr>
    <w:rPr>
      <w:szCs w:val="20"/>
    </w:rPr>
  </w:style>
  <w:style w:type="character" w:customStyle="1" w:styleId="TestonotaapidipaginaCarattere">
    <w:name w:val="Testo nota a piè di pagina Carattere"/>
    <w:basedOn w:val="Carpredefinitoparagrafo"/>
    <w:link w:val="Testonotaapidipagina"/>
    <w:rsid w:val="00995775"/>
  </w:style>
  <w:style w:type="character" w:styleId="Rimandonotaapidipagina">
    <w:name w:val="footnote reference"/>
    <w:basedOn w:val="Carpredefinitoparagrafo"/>
    <w:rsid w:val="009957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sim.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C9CE2-D9FF-4497-AA7F-27494E67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954</Words>
  <Characters>5821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2023-05-02T06:42:00Z</dcterms:created>
  <dcterms:modified xsi:type="dcterms:W3CDTF">2023-06-28T13:08:00Z</dcterms:modified>
</cp:coreProperties>
</file>