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8816" w14:textId="77777777" w:rsidR="00EF0936" w:rsidRPr="00CB77D2" w:rsidRDefault="00EF0936" w:rsidP="00754687">
      <w:pPr>
        <w:pStyle w:val="Titolo1"/>
        <w:ind w:left="0" w:firstLine="0"/>
      </w:pPr>
      <w:r w:rsidRPr="00CB77D2">
        <w:t>Metodologie e determinazioni quantitative d’azienda (Bilancio consolidato/Analisi di bilancio)</w:t>
      </w:r>
    </w:p>
    <w:p w14:paraId="2C919E2B" w14:textId="77777777" w:rsidR="00F2181E" w:rsidRPr="00731D16" w:rsidRDefault="00F2181E" w:rsidP="00F2181E">
      <w:pPr>
        <w:pStyle w:val="Titolo2"/>
      </w:pPr>
      <w:r w:rsidRPr="00731D16">
        <w:t>Prof. Andrea Alessandri; Prof. Paolo Russo</w:t>
      </w:r>
      <w:r>
        <w:t xml:space="preserve"> </w:t>
      </w:r>
    </w:p>
    <w:p w14:paraId="696D99DB" w14:textId="6F070FD3" w:rsidR="002D5E17" w:rsidRDefault="00F2181E" w:rsidP="00F2181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CB45647" w14:textId="77777777" w:rsidR="00F2181E" w:rsidRPr="005A08D7" w:rsidRDefault="00F2181E" w:rsidP="00F2181E">
      <w:pPr>
        <w:tabs>
          <w:tab w:val="clear" w:pos="284"/>
        </w:tabs>
        <w:rPr>
          <w:rFonts w:ascii="Times" w:eastAsia="MS Mincho" w:hAnsi="Times" w:cs="Times"/>
        </w:rPr>
      </w:pPr>
      <w:r w:rsidRPr="005A08D7">
        <w:rPr>
          <w:rFonts w:ascii="Times" w:eastAsia="MS Mincho" w:hAnsi="Times" w:cs="Times"/>
        </w:rPr>
        <w:t>Gli obiettivi principali d</w:t>
      </w:r>
      <w:r w:rsidR="005A08D7" w:rsidRPr="005A08D7">
        <w:rPr>
          <w:rFonts w:ascii="Times" w:eastAsia="MS Mincho" w:hAnsi="Times" w:cs="Times"/>
        </w:rPr>
        <w:t>i questo insegnamento sono due:</w:t>
      </w:r>
    </w:p>
    <w:p w14:paraId="1D5EB4F7" w14:textId="77777777" w:rsidR="00F2181E" w:rsidRPr="005A08D7" w:rsidRDefault="00754687" w:rsidP="00754687">
      <w:pPr>
        <w:tabs>
          <w:tab w:val="clear" w:pos="284"/>
        </w:tabs>
        <w:ind w:left="284" w:hanging="284"/>
        <w:rPr>
          <w:rFonts w:ascii="Times" w:eastAsia="MS Mincho" w:hAnsi="Times" w:cs="Times"/>
        </w:rPr>
      </w:pPr>
      <w:r>
        <w:rPr>
          <w:rFonts w:ascii="Times" w:eastAsia="MS Mincho" w:hAnsi="Times" w:cs="Times"/>
        </w:rPr>
        <w:t>1.</w:t>
      </w:r>
      <w:r>
        <w:rPr>
          <w:rFonts w:ascii="Times" w:eastAsia="MS Mincho" w:hAnsi="Times" w:cs="Times"/>
        </w:rPr>
        <w:tab/>
      </w:r>
      <w:r w:rsidR="00F2181E" w:rsidRPr="005A08D7">
        <w:rPr>
          <w:rFonts w:ascii="Times" w:eastAsia="MS Mincho" w:hAnsi="Times" w:cs="Times"/>
        </w:rPr>
        <w:t>approfondire la tecnica di costruzione del bilancio consolidato e del rendiconto finanziario, al fine di integrare le conoscenze acquisite dallo studente nell’ambito dei programmi di Economia aziendale e di Metodologie e determinazioni quantitative d’az</w:t>
      </w:r>
      <w:r w:rsidR="005A08D7" w:rsidRPr="005A08D7">
        <w:rPr>
          <w:rFonts w:ascii="Times" w:eastAsia="MS Mincho" w:hAnsi="Times" w:cs="Times"/>
        </w:rPr>
        <w:t>ienda;</w:t>
      </w:r>
    </w:p>
    <w:p w14:paraId="55513308" w14:textId="77777777" w:rsidR="00F2181E" w:rsidRPr="005A08D7" w:rsidRDefault="00754687" w:rsidP="00754687">
      <w:pPr>
        <w:tabs>
          <w:tab w:val="clear" w:pos="284"/>
        </w:tabs>
        <w:ind w:left="284" w:hanging="284"/>
        <w:rPr>
          <w:rFonts w:ascii="Times" w:eastAsia="MS Mincho" w:hAnsi="Times" w:cs="Times"/>
        </w:rPr>
      </w:pPr>
      <w:r>
        <w:rPr>
          <w:rFonts w:ascii="Times" w:eastAsia="MS Mincho" w:hAnsi="Times" w:cs="Times"/>
        </w:rPr>
        <w:t>2.</w:t>
      </w:r>
      <w:r>
        <w:rPr>
          <w:rFonts w:ascii="Times" w:eastAsia="MS Mincho" w:hAnsi="Times" w:cs="Times"/>
        </w:rPr>
        <w:tab/>
      </w:r>
      <w:r w:rsidR="00F2181E" w:rsidRPr="005A08D7">
        <w:rPr>
          <w:rFonts w:ascii="Times" w:eastAsia="MS Mincho" w:hAnsi="Times" w:cs="Times"/>
        </w:rPr>
        <w:t>avviare lo studente all’analisi di bilancio.</w:t>
      </w:r>
    </w:p>
    <w:p w14:paraId="271FA8CD" w14:textId="77777777" w:rsidR="00F2181E" w:rsidRPr="005A08D7" w:rsidRDefault="00F2181E" w:rsidP="00CB77D2">
      <w:pPr>
        <w:tabs>
          <w:tab w:val="clear" w:pos="284"/>
        </w:tabs>
        <w:autoSpaceDE w:val="0"/>
        <w:autoSpaceDN w:val="0"/>
        <w:adjustRightInd w:val="0"/>
        <w:spacing w:before="120" w:line="240" w:lineRule="auto"/>
        <w:jc w:val="left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Al termine del corso gli studenti:</w:t>
      </w:r>
    </w:p>
    <w:p w14:paraId="049B93B9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conosceranno le principali impostazioni di metodo alla base della redazione del bilancio consolidato e del rendiconto finanziario,</w:t>
      </w:r>
    </w:p>
    <w:p w14:paraId="5F7ECC1D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sapranno applicare le diverse tecniche di consolidamento utilizz</w:t>
      </w:r>
      <w:r w:rsidR="006732EF" w:rsidRPr="005A08D7">
        <w:rPr>
          <w:rFonts w:ascii="Times" w:hAnsi="Times" w:cs="Times"/>
          <w:szCs w:val="18"/>
        </w:rPr>
        <w:t>ate nella prassi professionale;</w:t>
      </w:r>
    </w:p>
    <w:p w14:paraId="1E695F4F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saranno in grado di costruire e di interpretare il rendiconto finanziario;</w:t>
      </w:r>
    </w:p>
    <w:p w14:paraId="4B7A2D52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conosceranno le diverse modalità di riclassificazione degli schemi di bilancio e saranno in grado di determinare le poste dello stato patrimoniale riconducibili alla gestione tipica, agli altri rami di gestione e alle operazioni estranee alla gestione;</w:t>
      </w:r>
    </w:p>
    <w:p w14:paraId="2929718A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saranno in grado di determinare e valutare il contributo dei diversi rami di gestione e delle operazioni estranee alla gestione alle variazioni di patrimonio netto, alle variazioni di capitale circolante netto e alle variazioni di cassa (o di tesoreria);</w:t>
      </w:r>
    </w:p>
    <w:p w14:paraId="35F5914D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avranno compreso le determinanti del reddito della gestione tipica, le determinanti dei flussi di cassa e la tecnica di determinazione del punto di pareggio economico e del punto di pareggio di cassa;</w:t>
      </w:r>
    </w:p>
    <w:p w14:paraId="28D40C78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saranno in grado di determinare e valutare le relazioni tra i flussi di patrimonio netto, i flussi di capitale circolante netto e i flussi di cassa.</w:t>
      </w:r>
    </w:p>
    <w:p w14:paraId="69EF14BC" w14:textId="77777777" w:rsidR="00F2181E" w:rsidRDefault="00F2181E" w:rsidP="00F2181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3FB5288" w14:textId="77777777" w:rsidR="00F2181E" w:rsidRPr="00754687" w:rsidRDefault="00F2181E" w:rsidP="00F2181E">
      <w:pPr>
        <w:tabs>
          <w:tab w:val="clear" w:pos="284"/>
        </w:tabs>
        <w:rPr>
          <w:rFonts w:ascii="Times" w:eastAsia="MS Mincho" w:hAnsi="Times" w:cs="Times"/>
          <w:smallCaps/>
          <w:sz w:val="18"/>
          <w:szCs w:val="20"/>
        </w:rPr>
      </w:pPr>
      <w:r w:rsidRPr="00754687">
        <w:rPr>
          <w:rFonts w:ascii="Times" w:eastAsia="MS Mincho" w:hAnsi="Times" w:cs="Times"/>
          <w:smallCaps/>
          <w:sz w:val="18"/>
          <w:szCs w:val="20"/>
        </w:rPr>
        <w:t>I Modulo</w:t>
      </w:r>
    </w:p>
    <w:p w14:paraId="2B99E3E7" w14:textId="5B2C004E" w:rsidR="00F2181E" w:rsidRPr="005A08D7" w:rsidRDefault="00F2181E" w:rsidP="00F2181E">
      <w:pPr>
        <w:tabs>
          <w:tab w:val="clear" w:pos="284"/>
        </w:tabs>
        <w:rPr>
          <w:rFonts w:ascii="Times" w:eastAsia="MS Mincho" w:hAnsi="Times" w:cs="Times"/>
          <w:szCs w:val="20"/>
        </w:rPr>
      </w:pPr>
      <w:r w:rsidRPr="005A08D7">
        <w:rPr>
          <w:rFonts w:ascii="Times" w:eastAsia="MS Mincho" w:hAnsi="Times" w:cs="Times"/>
          <w:szCs w:val="20"/>
        </w:rPr>
        <w:t xml:space="preserve">Nel primo modulo saranno affrontati i seguenti argomenti: 1. Il bilancio consolidato (area di consolidamento; omogeneizzazione dei bilanci; struttura e contenuto degli schemi di sintesi; scelta dei criteri di valutazione; principi di consolidamento; trattamento delle differenze di consolidamento; </w:t>
      </w:r>
      <w:r w:rsidR="00B30D19">
        <w:rPr>
          <w:rFonts w:ascii="Times" w:eastAsia="MS Mincho" w:hAnsi="Times" w:cs="Times"/>
          <w:szCs w:val="20"/>
        </w:rPr>
        <w:t xml:space="preserve">elisione dei saldi infragruppo; </w:t>
      </w:r>
      <w:r w:rsidRPr="005A08D7">
        <w:rPr>
          <w:rFonts w:ascii="Times" w:eastAsia="MS Mincho" w:hAnsi="Times" w:cs="Times"/>
          <w:szCs w:val="20"/>
        </w:rPr>
        <w:lastRenderedPageBreak/>
        <w:t>trattamento delle interessenze dei soci di minoranza); 2. la tecnica di costruzione del rendiconto finanziario (secondo i principi contabili nazionali).</w:t>
      </w:r>
    </w:p>
    <w:p w14:paraId="49C8ED1C" w14:textId="77777777" w:rsidR="00F2181E" w:rsidRPr="00754687" w:rsidRDefault="00F2181E" w:rsidP="00754687">
      <w:pPr>
        <w:tabs>
          <w:tab w:val="clear" w:pos="284"/>
        </w:tabs>
        <w:spacing w:before="120"/>
        <w:rPr>
          <w:rFonts w:ascii="Times" w:eastAsia="MS Mincho" w:hAnsi="Times" w:cs="Times"/>
          <w:smallCaps/>
          <w:sz w:val="18"/>
          <w:szCs w:val="20"/>
        </w:rPr>
      </w:pPr>
      <w:r w:rsidRPr="00754687">
        <w:rPr>
          <w:rFonts w:ascii="Times" w:eastAsia="MS Mincho" w:hAnsi="Times" w:cs="Times"/>
          <w:smallCaps/>
          <w:sz w:val="18"/>
          <w:szCs w:val="20"/>
        </w:rPr>
        <w:t>II Modulo</w:t>
      </w:r>
    </w:p>
    <w:p w14:paraId="3C3D1CFE" w14:textId="32A4FF16" w:rsidR="00F2181E" w:rsidRPr="005A08D7" w:rsidRDefault="00F2181E" w:rsidP="00F2181E">
      <w:pPr>
        <w:tabs>
          <w:tab w:val="clear" w:pos="284"/>
        </w:tabs>
        <w:rPr>
          <w:rFonts w:ascii="Times" w:eastAsia="MS Mincho" w:hAnsi="Times" w:cs="Times"/>
          <w:szCs w:val="20"/>
        </w:rPr>
      </w:pPr>
      <w:r w:rsidRPr="005A08D7">
        <w:rPr>
          <w:rFonts w:ascii="Times" w:eastAsia="MS Mincho" w:hAnsi="Times" w:cs="Times"/>
          <w:szCs w:val="20"/>
        </w:rPr>
        <w:t xml:space="preserve">Nel </w:t>
      </w:r>
      <w:r w:rsidR="00B361E5">
        <w:rPr>
          <w:rFonts w:ascii="Times" w:eastAsia="MS Mincho" w:hAnsi="Times" w:cs="Times"/>
          <w:szCs w:val="20"/>
        </w:rPr>
        <w:t xml:space="preserve">secondo </w:t>
      </w:r>
      <w:r w:rsidRPr="005A08D7">
        <w:rPr>
          <w:rFonts w:ascii="Times" w:eastAsia="MS Mincho" w:hAnsi="Times" w:cs="Times"/>
          <w:szCs w:val="20"/>
        </w:rPr>
        <w:t>modulo saranno affrontati i seguenti argomenti: gli obiettivi dell’analisi di bilancio; le prospettive dell’analista interno e dell’analista esterno nello svolgimento delle analisi di bilancio; i criteri di analisi della gestione e delle altre operazioni; la riclassificazione dello stato patrimoniale; la riclassificazione del conto economico; la riclassificazione del rendiconto finanziario; le informazioni rilevanti per l’analisi della strategia perseguita nelle singole aree di affari in cui si articola la gestione tipica. Il corso presenta inoltre la tecnica di calcolo e i principali limiti di significatività degli indicatori</w:t>
      </w:r>
      <w:r w:rsidR="005A08D7" w:rsidRPr="005A08D7">
        <w:rPr>
          <w:rFonts w:ascii="Times" w:eastAsia="MS Mincho" w:hAnsi="Times" w:cs="Times"/>
          <w:szCs w:val="20"/>
        </w:rPr>
        <w:t xml:space="preserve"> di bilancio tradizionali.</w:t>
      </w:r>
    </w:p>
    <w:p w14:paraId="0F8E239A" w14:textId="77777777" w:rsidR="00F2181E" w:rsidRPr="005A08D7" w:rsidRDefault="00F2181E" w:rsidP="00F2181E">
      <w:pPr>
        <w:tabs>
          <w:tab w:val="clear" w:pos="284"/>
        </w:tabs>
        <w:rPr>
          <w:rFonts w:ascii="Times" w:eastAsia="MS Mincho" w:hAnsi="Times" w:cs="Times"/>
          <w:szCs w:val="20"/>
        </w:rPr>
      </w:pPr>
      <w:r w:rsidRPr="005A08D7">
        <w:rPr>
          <w:rFonts w:ascii="Times" w:eastAsia="MS Mincho" w:hAnsi="Times" w:cs="Times"/>
          <w:szCs w:val="20"/>
        </w:rPr>
        <w:t>Durante le lezioni le tecniche di analisi proposte saranno applicate nello studio dei bilanci di società di varia dimensione, italiane e straniere.</w:t>
      </w:r>
    </w:p>
    <w:p w14:paraId="5AF890ED" w14:textId="65E6EFF0" w:rsidR="00F2181E" w:rsidRPr="00754687" w:rsidRDefault="00F2181E" w:rsidP="00754687">
      <w:pPr>
        <w:spacing w:before="240" w:after="120" w:line="220" w:lineRule="exact"/>
        <w:rPr>
          <w:rFonts w:ascii="Times" w:hAnsi="Times"/>
          <w:b/>
          <w:i/>
          <w:spacing w:val="-5"/>
          <w:sz w:val="18"/>
        </w:rPr>
      </w:pPr>
      <w:r w:rsidRPr="00754687">
        <w:rPr>
          <w:rFonts w:ascii="Times" w:hAnsi="Times"/>
          <w:b/>
          <w:i/>
          <w:spacing w:val="-5"/>
          <w:sz w:val="18"/>
        </w:rPr>
        <w:t>BIBLIOGRAFIA</w:t>
      </w:r>
      <w:r w:rsidR="007E39F6">
        <w:rPr>
          <w:rStyle w:val="Rimandonotaapidipagina"/>
          <w:rFonts w:ascii="Times" w:hAnsi="Times"/>
          <w:b/>
          <w:i/>
          <w:spacing w:val="-5"/>
          <w:sz w:val="18"/>
        </w:rPr>
        <w:footnoteReference w:id="1"/>
      </w:r>
    </w:p>
    <w:p w14:paraId="063EB6BD" w14:textId="0B877E64" w:rsidR="00717E1A" w:rsidRPr="00F21740" w:rsidRDefault="00717E1A" w:rsidP="00F21740">
      <w:pPr>
        <w:pStyle w:val="Testo1"/>
        <w:spacing w:before="0" w:line="240" w:lineRule="atLeast"/>
        <w:rPr>
          <w:i/>
          <w:spacing w:val="-5"/>
        </w:rPr>
      </w:pPr>
      <w:r w:rsidRPr="008C4B8D">
        <w:t xml:space="preserve">P. Russo, </w:t>
      </w:r>
      <w:r>
        <w:t>L’analisi di bilancio</w:t>
      </w:r>
      <w:r w:rsidRPr="008C4B8D">
        <w:t xml:space="preserve">, </w:t>
      </w:r>
      <w:r>
        <w:rPr>
          <w:i/>
          <w:spacing w:val="-5"/>
        </w:rPr>
        <w:t>Mc Graw Hill,</w:t>
      </w:r>
      <w:r w:rsidRPr="006E2498">
        <w:rPr>
          <w:spacing w:val="-5"/>
        </w:rPr>
        <w:t xml:space="preserve"> 202</w:t>
      </w:r>
      <w:r>
        <w:rPr>
          <w:spacing w:val="-5"/>
        </w:rPr>
        <w:t>3</w:t>
      </w:r>
      <w:r w:rsidRPr="008C4B8D">
        <w:t>. [In particolare, costituiscono materia di esame i paragrafi indicati nel Syllabus che sarà reso disponibile nella pagina Blackboard all’inizio del corso]</w:t>
      </w:r>
      <w:r w:rsidR="00AF29C4">
        <w:t xml:space="preserve"> </w:t>
      </w:r>
      <w:hyperlink r:id="rId8" w:history="1">
        <w:r w:rsidR="00AF29C4" w:rsidRPr="00AF29C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17175CB" w14:textId="77777777" w:rsidR="00F2181E" w:rsidRPr="00754687" w:rsidRDefault="00F2181E" w:rsidP="00754687">
      <w:pPr>
        <w:pStyle w:val="Testo1"/>
        <w:spacing w:before="0"/>
      </w:pPr>
      <w:r w:rsidRPr="00754687">
        <w:t>OIC - Organismo Italiano di Contabilità, Principi contabili: OIC 17 “Bilancio consolidato e metodo del patrimonio netto” (Sezione del bilancio consolidato).</w:t>
      </w:r>
    </w:p>
    <w:p w14:paraId="68C0C502" w14:textId="77777777" w:rsidR="00F2181E" w:rsidRPr="00754687" w:rsidRDefault="00F2181E" w:rsidP="00754687">
      <w:pPr>
        <w:pStyle w:val="Testo1"/>
        <w:spacing w:before="0"/>
      </w:pPr>
      <w:r w:rsidRPr="00754687">
        <w:t>OIC - Organismo Italiano di Contabilità, Principi contabili</w:t>
      </w:r>
      <w:r w:rsidR="005A08D7" w:rsidRPr="00754687">
        <w:t>: OIC 10 “Rendiconto finaziario”</w:t>
      </w:r>
      <w:r w:rsidRPr="00754687">
        <w:t>.</w:t>
      </w:r>
    </w:p>
    <w:p w14:paraId="4652DCE1" w14:textId="77777777" w:rsidR="00F2181E" w:rsidRPr="00754687" w:rsidRDefault="00F2181E" w:rsidP="00754687">
      <w:pPr>
        <w:pStyle w:val="Testo1"/>
        <w:spacing w:before="0"/>
      </w:pPr>
      <w:r w:rsidRPr="00754687">
        <w:t>OIC - Organismo Italiano di Contabilità, Principi contabili: OIC 25 “Imposte sul reddito” (cenni)</w:t>
      </w:r>
      <w:r w:rsidR="005A08D7" w:rsidRPr="00754687">
        <w:t>.</w:t>
      </w:r>
    </w:p>
    <w:p w14:paraId="73F086F1" w14:textId="77777777" w:rsidR="00F2181E" w:rsidRPr="006732EF" w:rsidRDefault="00F2181E" w:rsidP="00F2181E">
      <w:pPr>
        <w:spacing w:before="240" w:after="120" w:line="220" w:lineRule="exact"/>
        <w:rPr>
          <w:rFonts w:ascii="Times" w:hAnsi="Times"/>
          <w:b/>
          <w:i/>
          <w:spacing w:val="-5"/>
          <w:sz w:val="18"/>
        </w:rPr>
      </w:pPr>
      <w:r w:rsidRPr="006732EF">
        <w:rPr>
          <w:rFonts w:ascii="Times" w:hAnsi="Times"/>
          <w:b/>
          <w:i/>
          <w:spacing w:val="-5"/>
          <w:sz w:val="18"/>
        </w:rPr>
        <w:t>DIDATTICA DEL CORSO</w:t>
      </w:r>
    </w:p>
    <w:p w14:paraId="3B84DBB7" w14:textId="661F48E3" w:rsidR="00A702BC" w:rsidRPr="00B17BC9" w:rsidRDefault="00F2181E" w:rsidP="00A702BC">
      <w:pPr>
        <w:pStyle w:val="Testo2"/>
      </w:pPr>
      <w:r w:rsidRPr="00CA0375">
        <w:t xml:space="preserve">La didattica si articola in due moduli, </w:t>
      </w:r>
      <w:r w:rsidR="009414C4" w:rsidRPr="00CA0375">
        <w:t>uno dedicato al bilancio consolidato e uno dedicato all’analisi di bilancio</w:t>
      </w:r>
      <w:r w:rsidRPr="00CA0375">
        <w:t>.</w:t>
      </w:r>
      <w:r w:rsidR="00A702BC" w:rsidRPr="00CA0375">
        <w:t xml:space="preserve"> </w:t>
      </w:r>
      <w:r w:rsidR="009414C4" w:rsidRPr="00CA0375">
        <w:t>Le</w:t>
      </w:r>
      <w:r w:rsidR="00A702BC" w:rsidRPr="00CA0375">
        <w:t xml:space="preserve"> lezioni del secondo modulo</w:t>
      </w:r>
      <w:r w:rsidR="009414C4" w:rsidRPr="00CA0375">
        <w:t xml:space="preserve"> </w:t>
      </w:r>
      <w:r w:rsidR="00A702BC" w:rsidRPr="00CA0375">
        <w:t>sono affiancate da un ciclo di esercitazioni facoltative finalizzate a consolidare l’apprendimento delle logiche e delle tecniche di analisi di bilancio mediante l</w:t>
      </w:r>
      <w:r w:rsidR="009414C4" w:rsidRPr="00CA0375">
        <w:t xml:space="preserve">o studio </w:t>
      </w:r>
      <w:r w:rsidR="00A702BC" w:rsidRPr="00CA0375">
        <w:t>di casi applicativi</w:t>
      </w:r>
      <w:r w:rsidR="008648CF" w:rsidRPr="00CA0375">
        <w:t xml:space="preserve"> ulteriori rispetto a quelli analizzati in aula</w:t>
      </w:r>
      <w:r w:rsidR="00A702BC" w:rsidRPr="00CA0375">
        <w:t>.</w:t>
      </w:r>
    </w:p>
    <w:p w14:paraId="582B1E7C" w14:textId="77777777" w:rsidR="00F2181E" w:rsidRDefault="00F2181E" w:rsidP="00F2181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93D58C9" w14:textId="77777777" w:rsidR="00F2181E" w:rsidRDefault="00F2181E" w:rsidP="00F2181E">
      <w:pPr>
        <w:pStyle w:val="Testo2"/>
      </w:pPr>
      <w:r w:rsidRPr="00731D16">
        <w:t xml:space="preserve">L’esame consiste di una prova scritta </w:t>
      </w:r>
      <w:r>
        <w:t xml:space="preserve">della durata di 2 ore, </w:t>
      </w:r>
      <w:r w:rsidRPr="00731D16">
        <w:t>articolata in due parti</w:t>
      </w:r>
      <w:r>
        <w:t>, una per ciascun modulo,</w:t>
      </w:r>
      <w:r w:rsidRPr="00731D16">
        <w:t xml:space="preserve"> ognuna delle quali accerta la preparazione dello studente sui temi svilu</w:t>
      </w:r>
      <w:r w:rsidR="006732EF">
        <w:t>ppati in ognuno dei due moduli.</w:t>
      </w:r>
    </w:p>
    <w:p w14:paraId="1183D36A" w14:textId="77777777" w:rsidR="00F2181E" w:rsidRDefault="00F2181E" w:rsidP="00F2181E">
      <w:pPr>
        <w:pStyle w:val="Testo2"/>
      </w:pPr>
      <w:r>
        <w:t>La valutazione della prova sarà unica e sarà determinata in base alla media aritmetica dei risultati ottenuti dal candidato nelle due parti.</w:t>
      </w:r>
    </w:p>
    <w:p w14:paraId="09524C6C" w14:textId="015EA0B4" w:rsidR="00F2181E" w:rsidRDefault="00F2181E" w:rsidP="00F2181E">
      <w:pPr>
        <w:pStyle w:val="Testo2"/>
      </w:pPr>
      <w:r w:rsidRPr="00731D16">
        <w:lastRenderedPageBreak/>
        <w:t>Per risultare sufficiente all’esame lo studente deve ottenere una valutazione sufficiente in ognuna delle due parti in cui si articola la prova scritta.</w:t>
      </w:r>
    </w:p>
    <w:p w14:paraId="67E03262" w14:textId="3079A9C2" w:rsidR="00B361E5" w:rsidRDefault="00B30D19" w:rsidP="00F2181E">
      <w:pPr>
        <w:pStyle w:val="Testo2"/>
      </w:pPr>
      <w:r>
        <w:t xml:space="preserve">Al termine del primo modulo, relativo al </w:t>
      </w:r>
      <w:r w:rsidR="001459FF">
        <w:t>b</w:t>
      </w:r>
      <w:r>
        <w:t xml:space="preserve">ilancio </w:t>
      </w:r>
      <w:r w:rsidR="001459FF">
        <w:t>c</w:t>
      </w:r>
      <w:r>
        <w:t>onsolidato, sarà prevista una prova parziale</w:t>
      </w:r>
      <w:r w:rsidR="00B361E5">
        <w:t xml:space="preserve"> di fine modulo,</w:t>
      </w:r>
      <w:r>
        <w:t xml:space="preserve"> </w:t>
      </w:r>
      <w:r w:rsidR="00B361E5">
        <w:t xml:space="preserve">finalizzata ad accertare la conoscenza dei contenuti del primo modulo. </w:t>
      </w:r>
    </w:p>
    <w:p w14:paraId="2647CAFF" w14:textId="1A0BCB39" w:rsidR="00B30D19" w:rsidRDefault="00B361E5" w:rsidP="00F2181E">
      <w:pPr>
        <w:pStyle w:val="Testo2"/>
      </w:pPr>
      <w:r>
        <w:t xml:space="preserve">I risultati di questa prova parziale saranno riconosciuti validi per gli appelli </w:t>
      </w:r>
      <w:r w:rsidR="00F21740">
        <w:t>della sessione invernale</w:t>
      </w:r>
      <w:r>
        <w:t xml:space="preserve"> e, come tali, comporterano per gli studenti risultati sufficienti l’esonero dalla parte della prova scritta dedicata ai contenuti del primo modulo. </w:t>
      </w:r>
    </w:p>
    <w:p w14:paraId="354A8694" w14:textId="77777777" w:rsidR="00F2181E" w:rsidRPr="003C67AC" w:rsidRDefault="00F2181E" w:rsidP="00F2181E">
      <w:pPr>
        <w:pStyle w:val="Testo2"/>
      </w:pPr>
      <w:r w:rsidRPr="00D52189">
        <w:t>Per risultare sufficiente lo studente deve dimostrare:</w:t>
      </w:r>
    </w:p>
    <w:p w14:paraId="0719B037" w14:textId="77777777" w:rsidR="00F2181E" w:rsidRPr="00754687" w:rsidRDefault="00F2181E" w:rsidP="00F2181E">
      <w:pPr>
        <w:pStyle w:val="Testo2"/>
        <w:spacing w:before="120"/>
      </w:pPr>
      <w:r w:rsidRPr="00754687">
        <w:t xml:space="preserve">I Modulo </w:t>
      </w:r>
    </w:p>
    <w:p w14:paraId="7F89D64A" w14:textId="77777777" w:rsidR="00F2181E" w:rsidRDefault="00F2181E" w:rsidP="00754687">
      <w:pPr>
        <w:pStyle w:val="Testo2"/>
        <w:numPr>
          <w:ilvl w:val="0"/>
          <w:numId w:val="4"/>
        </w:numPr>
        <w:ind w:left="567" w:hanging="283"/>
      </w:pPr>
      <w:r w:rsidRPr="003C67AC">
        <w:t xml:space="preserve">di conoscere e di saper applicare le scritture di consoldamento e </w:t>
      </w:r>
      <w:r>
        <w:t xml:space="preserve">di </w:t>
      </w:r>
      <w:r w:rsidRPr="003C67AC">
        <w:t xml:space="preserve">saper redigere il bilancio consolidato </w:t>
      </w:r>
      <w:r>
        <w:t>utilizzando le</w:t>
      </w:r>
      <w:r w:rsidRPr="003C67AC">
        <w:t xml:space="preserve"> metodologie presentate in aula</w:t>
      </w:r>
      <w:r>
        <w:t>;</w:t>
      </w:r>
    </w:p>
    <w:p w14:paraId="65EECA71" w14:textId="77777777" w:rsidR="00F2181E" w:rsidRDefault="00F2181E" w:rsidP="00754687">
      <w:pPr>
        <w:pStyle w:val="Testo2"/>
        <w:numPr>
          <w:ilvl w:val="0"/>
          <w:numId w:val="4"/>
        </w:numPr>
        <w:ind w:left="567" w:hanging="283"/>
      </w:pPr>
      <w:r>
        <w:t>di saper costruire e intepretare il rendiconto finanziario.</w:t>
      </w:r>
    </w:p>
    <w:p w14:paraId="14D9511B" w14:textId="77777777" w:rsidR="00F2181E" w:rsidRPr="00754687" w:rsidRDefault="00F2181E" w:rsidP="00F2181E">
      <w:pPr>
        <w:pStyle w:val="Testo2"/>
        <w:spacing w:before="120"/>
      </w:pPr>
      <w:r w:rsidRPr="00754687">
        <w:t>II Modulo</w:t>
      </w:r>
    </w:p>
    <w:p w14:paraId="70093C8B" w14:textId="77777777" w:rsidR="00F2181E" w:rsidRDefault="00F2181E" w:rsidP="00754687">
      <w:pPr>
        <w:pStyle w:val="Testo2"/>
        <w:numPr>
          <w:ilvl w:val="0"/>
          <w:numId w:val="3"/>
        </w:numPr>
        <w:ind w:left="567" w:hanging="283"/>
      </w:pPr>
      <w:r w:rsidRPr="003C67AC">
        <w:t xml:space="preserve">di conoscere </w:t>
      </w:r>
      <w:r>
        <w:t>e saper applicare le modalità di riclassifica</w:t>
      </w:r>
      <w:r w:rsidR="005A08D7">
        <w:t>zione degli schemi di bilancio;</w:t>
      </w:r>
    </w:p>
    <w:p w14:paraId="2D648221" w14:textId="77777777" w:rsidR="00F2181E" w:rsidRPr="003A7D9F" w:rsidRDefault="00F2181E" w:rsidP="00754687">
      <w:pPr>
        <w:pStyle w:val="Testo2"/>
        <w:numPr>
          <w:ilvl w:val="0"/>
          <w:numId w:val="3"/>
        </w:numPr>
        <w:ind w:left="567" w:hanging="283"/>
      </w:pPr>
      <w:r>
        <w:t>di saper riconoscere le parti parti dello stato patrimoniale, del conto economico e dei flussi di cassa riconducibili ai singoli rami di gestione e alle operazioni estranee alla gestione;</w:t>
      </w:r>
    </w:p>
    <w:p w14:paraId="03E0F98B" w14:textId="77777777" w:rsidR="00F2181E" w:rsidRDefault="00F2181E" w:rsidP="00754687">
      <w:pPr>
        <w:pStyle w:val="Testo2"/>
        <w:numPr>
          <w:ilvl w:val="0"/>
          <w:numId w:val="3"/>
        </w:numPr>
        <w:ind w:left="567" w:hanging="283"/>
      </w:pPr>
      <w:r>
        <w:t>di conoscere le relazioni tra i dati economici, patrimoniali e finanziari e di saper ricostruire tali relazioni nell’analisi economica, patrimoniale e finanziaria dei singoli rami di gestione e delle operazioni estranee alla gestione;</w:t>
      </w:r>
    </w:p>
    <w:p w14:paraId="68D1FCE5" w14:textId="77777777" w:rsidR="00F2181E" w:rsidRPr="003C67AC" w:rsidRDefault="00F2181E" w:rsidP="00754687">
      <w:pPr>
        <w:pStyle w:val="Testo2"/>
        <w:numPr>
          <w:ilvl w:val="0"/>
          <w:numId w:val="3"/>
        </w:numPr>
        <w:ind w:left="567" w:hanging="283"/>
      </w:pPr>
      <w:r>
        <w:t>di conoscere le determinanti del reddito della gestione tipica e del flusso di cassa della gestione tipica.</w:t>
      </w:r>
    </w:p>
    <w:p w14:paraId="5ADFCE42" w14:textId="77777777" w:rsidR="00F2181E" w:rsidRDefault="00F2181E" w:rsidP="00F218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6F8977C" w14:textId="77777777" w:rsidR="00F2181E" w:rsidRPr="006732EF" w:rsidRDefault="00F2181E" w:rsidP="006732EF">
      <w:pPr>
        <w:pStyle w:val="Testo2"/>
      </w:pPr>
      <w:r w:rsidRPr="006732EF">
        <w:t xml:space="preserve">Il programma analitico del corso sarà reso disponibile in aula all’inizio del corso e sarà esposto nella pagina web del docente, all’indirizzo </w:t>
      </w:r>
      <w:r w:rsidRPr="006732EF">
        <w:rPr>
          <w:i/>
        </w:rPr>
        <w:t>www.unicatt.it.</w:t>
      </w:r>
    </w:p>
    <w:p w14:paraId="19D86443" w14:textId="77777777" w:rsidR="00F2181E" w:rsidRPr="006732EF" w:rsidRDefault="00F2181E" w:rsidP="006732EF">
      <w:pPr>
        <w:pStyle w:val="Testo2"/>
      </w:pPr>
      <w:r w:rsidRPr="006732EF">
        <w:t>Considerati i contenuti e i metodi didattici impiegati, la frequenza alle lezioni e alle esercitazioni, pur non essendo obbligatoria, è vivamente consigliata.</w:t>
      </w:r>
    </w:p>
    <w:p w14:paraId="1D8B2D9E" w14:textId="6016379A" w:rsidR="00F2181E" w:rsidRPr="006732EF" w:rsidRDefault="004623FB" w:rsidP="006732EF">
      <w:pPr>
        <w:pStyle w:val="Testo2"/>
      </w:pPr>
      <w:r>
        <w:t xml:space="preserve">È </w:t>
      </w:r>
      <w:r w:rsidR="00F2181E" w:rsidRPr="006732EF">
        <w:t>indispensabile un’adeguata conoscenza dei principi contabili nazionali OIC indicati in Bibliografia.</w:t>
      </w:r>
    </w:p>
    <w:p w14:paraId="7F61C09D" w14:textId="77777777" w:rsidR="00F2181E" w:rsidRPr="006732EF" w:rsidRDefault="00F2181E" w:rsidP="006732EF">
      <w:pPr>
        <w:pStyle w:val="Testo2"/>
        <w:rPr>
          <w:rFonts w:eastAsia="MS Mincho"/>
        </w:rPr>
      </w:pPr>
      <w:r w:rsidRPr="006732EF">
        <w:rPr>
          <w:rFonts w:eastAsia="MS Mincho"/>
        </w:rPr>
        <w:t>L'insegnamento di “Metodologie e determinazioni quantitative d'azienda” (laurea triennale – o insegnamento equivalente) è propedeutico all'insegnamento di "Metodologie e determinazioni quantitative d'azienda” (Consolidato/Analisi di bilancio).</w:t>
      </w:r>
    </w:p>
    <w:p w14:paraId="64274C68" w14:textId="093EC399" w:rsidR="00F2181E" w:rsidRDefault="00F2181E" w:rsidP="006732EF">
      <w:pPr>
        <w:pStyle w:val="Testo2"/>
        <w:rPr>
          <w:rFonts w:eastAsia="MS Mincho"/>
        </w:rPr>
      </w:pPr>
      <w:r w:rsidRPr="006732EF">
        <w:rPr>
          <w:rFonts w:eastAsia="MS Mincho"/>
        </w:rPr>
        <w:t>Sono altresì utili all’apprendimento conoscenze di base di “Finanza aziendale”</w:t>
      </w:r>
      <w:r w:rsidR="006732EF">
        <w:rPr>
          <w:rFonts w:eastAsia="MS Mincho"/>
        </w:rPr>
        <w:t>.</w:t>
      </w:r>
    </w:p>
    <w:sectPr w:rsidR="00F2181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B36C" w14:textId="77777777" w:rsidR="00412FB3" w:rsidRDefault="00412FB3" w:rsidP="00F2181E">
      <w:pPr>
        <w:spacing w:line="240" w:lineRule="auto"/>
      </w:pPr>
      <w:r>
        <w:separator/>
      </w:r>
    </w:p>
  </w:endnote>
  <w:endnote w:type="continuationSeparator" w:id="0">
    <w:p w14:paraId="446F7135" w14:textId="77777777" w:rsidR="00412FB3" w:rsidRDefault="00412FB3" w:rsidP="00F21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E0FF" w14:textId="77777777" w:rsidR="00412FB3" w:rsidRDefault="00412FB3" w:rsidP="00F2181E">
      <w:pPr>
        <w:spacing w:line="240" w:lineRule="auto"/>
      </w:pPr>
      <w:r>
        <w:separator/>
      </w:r>
    </w:p>
  </w:footnote>
  <w:footnote w:type="continuationSeparator" w:id="0">
    <w:p w14:paraId="1EC93AF0" w14:textId="77777777" w:rsidR="00412FB3" w:rsidRDefault="00412FB3" w:rsidP="00F2181E">
      <w:pPr>
        <w:spacing w:line="240" w:lineRule="auto"/>
      </w:pPr>
      <w:r>
        <w:continuationSeparator/>
      </w:r>
    </w:p>
  </w:footnote>
  <w:footnote w:id="1">
    <w:p w14:paraId="678FA9DE" w14:textId="35C36F5A" w:rsidR="007E39F6" w:rsidRDefault="007E39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1798"/>
    <w:multiLevelType w:val="hybridMultilevel"/>
    <w:tmpl w:val="CDB42348"/>
    <w:lvl w:ilvl="0" w:tplc="FE9EC2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75098"/>
    <w:multiLevelType w:val="hybridMultilevel"/>
    <w:tmpl w:val="1AB4B7D6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03B60"/>
    <w:multiLevelType w:val="hybridMultilevel"/>
    <w:tmpl w:val="39387B76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B91877"/>
    <w:multiLevelType w:val="hybridMultilevel"/>
    <w:tmpl w:val="742AD33A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10265440">
    <w:abstractNumId w:val="0"/>
  </w:num>
  <w:num w:numId="2" w16cid:durableId="210923173">
    <w:abstractNumId w:val="1"/>
  </w:num>
  <w:num w:numId="3" w16cid:durableId="347874343">
    <w:abstractNumId w:val="2"/>
  </w:num>
  <w:num w:numId="4" w16cid:durableId="660280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FB"/>
    <w:rsid w:val="001459FF"/>
    <w:rsid w:val="0016287D"/>
    <w:rsid w:val="00187B99"/>
    <w:rsid w:val="002014DD"/>
    <w:rsid w:val="002D5E17"/>
    <w:rsid w:val="00412FB3"/>
    <w:rsid w:val="004623FB"/>
    <w:rsid w:val="004D1217"/>
    <w:rsid w:val="004D6008"/>
    <w:rsid w:val="004F2B2F"/>
    <w:rsid w:val="005A08D7"/>
    <w:rsid w:val="00625C50"/>
    <w:rsid w:val="00640794"/>
    <w:rsid w:val="006732EF"/>
    <w:rsid w:val="006F1772"/>
    <w:rsid w:val="00717E1A"/>
    <w:rsid w:val="00754687"/>
    <w:rsid w:val="007B693C"/>
    <w:rsid w:val="007E39F6"/>
    <w:rsid w:val="008648CF"/>
    <w:rsid w:val="008942E7"/>
    <w:rsid w:val="008A1204"/>
    <w:rsid w:val="008E2647"/>
    <w:rsid w:val="00900CCA"/>
    <w:rsid w:val="00924B77"/>
    <w:rsid w:val="00940DA2"/>
    <w:rsid w:val="009414C4"/>
    <w:rsid w:val="00967A6E"/>
    <w:rsid w:val="00983E8D"/>
    <w:rsid w:val="009E055C"/>
    <w:rsid w:val="00A40D77"/>
    <w:rsid w:val="00A702BC"/>
    <w:rsid w:val="00A74F6F"/>
    <w:rsid w:val="00AD7557"/>
    <w:rsid w:val="00AF29C4"/>
    <w:rsid w:val="00B30D19"/>
    <w:rsid w:val="00B361E5"/>
    <w:rsid w:val="00B50C5D"/>
    <w:rsid w:val="00B51253"/>
    <w:rsid w:val="00B525CC"/>
    <w:rsid w:val="00B71D27"/>
    <w:rsid w:val="00B82A52"/>
    <w:rsid w:val="00BC130E"/>
    <w:rsid w:val="00BE536B"/>
    <w:rsid w:val="00CA0375"/>
    <w:rsid w:val="00CB77D2"/>
    <w:rsid w:val="00D404F2"/>
    <w:rsid w:val="00D81AF4"/>
    <w:rsid w:val="00D8782E"/>
    <w:rsid w:val="00DC6AFB"/>
    <w:rsid w:val="00E607E6"/>
    <w:rsid w:val="00EF0936"/>
    <w:rsid w:val="00F21740"/>
    <w:rsid w:val="00F2181E"/>
    <w:rsid w:val="00F6568C"/>
    <w:rsid w:val="00F77B6C"/>
    <w:rsid w:val="00F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0010F"/>
  <w15:chartTrackingRefBased/>
  <w15:docId w15:val="{8ED8CDAF-EA7F-48C1-9F11-591EA930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2181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181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218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181E"/>
  </w:style>
  <w:style w:type="character" w:styleId="Rimandonotaapidipagina">
    <w:name w:val="footnote reference"/>
    <w:basedOn w:val="Carpredefinitoparagrafo"/>
    <w:rsid w:val="00F2181E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B82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82A5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A702B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702BC"/>
    <w:rPr>
      <w:szCs w:val="24"/>
    </w:rPr>
  </w:style>
  <w:style w:type="paragraph" w:styleId="Pidipagina">
    <w:name w:val="footer"/>
    <w:basedOn w:val="Normale"/>
    <w:link w:val="PidipaginaCarattere"/>
    <w:rsid w:val="00A702B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702BC"/>
    <w:rPr>
      <w:szCs w:val="24"/>
    </w:rPr>
  </w:style>
  <w:style w:type="paragraph" w:styleId="Revisione">
    <w:name w:val="Revision"/>
    <w:hidden/>
    <w:uiPriority w:val="99"/>
    <w:semiHidden/>
    <w:rsid w:val="00717E1A"/>
    <w:rPr>
      <w:szCs w:val="24"/>
    </w:rPr>
  </w:style>
  <w:style w:type="character" w:styleId="Collegamentoipertestuale">
    <w:name w:val="Hyperlink"/>
    <w:basedOn w:val="Carpredefinitoparagrafo"/>
    <w:rsid w:val="00AF29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2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russo/lanalisi-di-bilancio-9788838611735-72904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70B0-D5C2-46A2-B532-0A211EFA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962</Words>
  <Characters>5908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2023-05-12T16:31:00Z</cp:lastPrinted>
  <dcterms:created xsi:type="dcterms:W3CDTF">2023-05-14T15:27:00Z</dcterms:created>
  <dcterms:modified xsi:type="dcterms:W3CDTF">2023-11-17T14:52:00Z</dcterms:modified>
</cp:coreProperties>
</file>