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3F72" w14:textId="781F18E2" w:rsidR="006F1772" w:rsidRPr="00542488" w:rsidRDefault="00DB05B5" w:rsidP="00066445">
      <w:pPr>
        <w:pStyle w:val="Titolo1"/>
        <w:rPr>
          <w:rFonts w:ascii="Times New Roman" w:hAnsi="Times New Roman"/>
          <w:lang w:val="en-GB"/>
        </w:rPr>
      </w:pPr>
      <w:r w:rsidRPr="00542488">
        <w:rPr>
          <w:rFonts w:ascii="Times New Roman" w:hAnsi="Times New Roman"/>
          <w:lang w:val="en-GB"/>
        </w:rPr>
        <w:t>Principles of management and tech law</w:t>
      </w:r>
    </w:p>
    <w:p w14:paraId="5ADDE665" w14:textId="4E3E9684" w:rsidR="00AA15B0" w:rsidRPr="00542488" w:rsidRDefault="00DF4C51" w:rsidP="00AA15B0">
      <w:pPr>
        <w:pStyle w:val="Titolo2"/>
        <w:rPr>
          <w:rFonts w:ascii="Times New Roman" w:hAnsi="Times New Roman"/>
        </w:rPr>
      </w:pPr>
      <w:r w:rsidRPr="00542488">
        <w:rPr>
          <w:rFonts w:ascii="Times New Roman" w:hAnsi="Times New Roman"/>
        </w:rPr>
        <w:t xml:space="preserve">Prof. </w:t>
      </w:r>
      <w:r w:rsidR="00F90D9E">
        <w:rPr>
          <w:rFonts w:ascii="Times New Roman" w:hAnsi="Times New Roman"/>
        </w:rPr>
        <w:t>Giacomo Ciambotti</w:t>
      </w:r>
      <w:r w:rsidR="00181384" w:rsidRPr="00542488">
        <w:rPr>
          <w:rFonts w:ascii="Times New Roman" w:hAnsi="Times New Roman"/>
        </w:rPr>
        <w:t>;</w:t>
      </w:r>
      <w:r w:rsidRPr="00542488">
        <w:rPr>
          <w:rFonts w:ascii="Times New Roman" w:hAnsi="Times New Roman"/>
        </w:rPr>
        <w:t xml:space="preserve"> </w:t>
      </w:r>
      <w:r w:rsidR="00066445" w:rsidRPr="00542488">
        <w:rPr>
          <w:rFonts w:ascii="Times New Roman" w:hAnsi="Times New Roman"/>
        </w:rPr>
        <w:t>Prof. Michele Faioli</w:t>
      </w:r>
    </w:p>
    <w:p w14:paraId="05C7917A" w14:textId="333C257A" w:rsidR="00DB05B5" w:rsidRPr="00542488" w:rsidRDefault="00DF4C51" w:rsidP="00444ECF">
      <w:pPr>
        <w:pStyle w:val="Testo1"/>
        <w:spacing w:before="240"/>
        <w:rPr>
          <w:rFonts w:ascii="Times New Roman" w:hAnsi="Times New Roman"/>
          <w:smallCaps/>
          <w:lang w:val="en-GB"/>
        </w:rPr>
      </w:pPr>
      <w:r w:rsidRPr="00542488">
        <w:rPr>
          <w:rFonts w:ascii="Times New Roman" w:hAnsi="Times New Roman"/>
          <w:smallCaps/>
          <w:lang w:val="en-GB"/>
        </w:rPr>
        <w:t xml:space="preserve">I Module - </w:t>
      </w:r>
      <w:r w:rsidR="00444ECF" w:rsidRPr="00542488">
        <w:rPr>
          <w:rFonts w:ascii="Times New Roman" w:hAnsi="Times New Roman"/>
          <w:i/>
          <w:spacing w:val="-5"/>
          <w:sz w:val="20"/>
          <w:lang w:val="en-GB"/>
        </w:rPr>
        <w:t>Principles of management</w:t>
      </w:r>
      <w:r w:rsidR="00444ECF" w:rsidRPr="00542488">
        <w:rPr>
          <w:rFonts w:ascii="Times New Roman" w:hAnsi="Times New Roman"/>
          <w:smallCaps/>
          <w:lang w:val="en-GB"/>
        </w:rPr>
        <w:t xml:space="preserve"> (</w:t>
      </w:r>
      <w:r w:rsidRPr="00542488">
        <w:rPr>
          <w:rFonts w:ascii="Times New Roman" w:eastAsia="Calibri" w:hAnsi="Times New Roman"/>
          <w:noProof w:val="0"/>
          <w:sz w:val="20"/>
          <w:szCs w:val="24"/>
          <w:lang w:val="en-GB" w:eastAsia="en-US"/>
        </w:rPr>
        <w:t xml:space="preserve">Prof. </w:t>
      </w:r>
      <w:r w:rsidR="00F90D9E">
        <w:rPr>
          <w:rFonts w:ascii="Times New Roman" w:eastAsia="Calibri" w:hAnsi="Times New Roman"/>
          <w:noProof w:val="0"/>
          <w:sz w:val="20"/>
          <w:szCs w:val="24"/>
          <w:lang w:val="en-GB" w:eastAsia="en-US"/>
        </w:rPr>
        <w:t>Giacomo Ciambotti</w:t>
      </w:r>
      <w:r w:rsidR="00444ECF" w:rsidRPr="00542488">
        <w:rPr>
          <w:rFonts w:ascii="Times New Roman" w:eastAsia="Calibri" w:hAnsi="Times New Roman"/>
          <w:noProof w:val="0"/>
          <w:sz w:val="20"/>
          <w:szCs w:val="24"/>
          <w:lang w:val="en-GB" w:eastAsia="en-US"/>
        </w:rPr>
        <w:t>)</w:t>
      </w:r>
    </w:p>
    <w:p w14:paraId="23CC8C48" w14:textId="5B3A8C66" w:rsidR="001D4860" w:rsidRPr="00542488" w:rsidRDefault="00A24825" w:rsidP="009B2E7C">
      <w:pPr>
        <w:spacing w:before="240" w:after="120"/>
        <w:rPr>
          <w:b/>
          <w:i/>
          <w:sz w:val="18"/>
          <w:lang w:val="en-GB"/>
        </w:rPr>
      </w:pPr>
      <w:r w:rsidRPr="00542488">
        <w:rPr>
          <w:b/>
          <w:i/>
          <w:sz w:val="18"/>
          <w:lang w:val="en-GB"/>
        </w:rPr>
        <w:t xml:space="preserve">COURSE AIMS AND INTENDED LEARNING OUTCOMES </w:t>
      </w:r>
    </w:p>
    <w:p w14:paraId="791EA544" w14:textId="2F5EAFF8" w:rsidR="008B6178" w:rsidRPr="008B6178" w:rsidRDefault="00F90D9E" w:rsidP="001744BF">
      <w:pPr>
        <w:ind w:right="28"/>
        <w:rPr>
          <w:rFonts w:eastAsia="Calibri"/>
          <w:szCs w:val="18"/>
          <w:lang w:val="en-GB" w:eastAsia="en-US"/>
        </w:rPr>
      </w:pPr>
      <w:r w:rsidRPr="00F90D9E">
        <w:rPr>
          <w:rFonts w:eastAsia="Calibri"/>
          <w:szCs w:val="18"/>
          <w:lang w:val="en-US" w:eastAsia="en-US"/>
        </w:rPr>
        <w:t xml:space="preserve">The course aims at providing the </w:t>
      </w:r>
      <w:r>
        <w:rPr>
          <w:rFonts w:eastAsia="Calibri"/>
          <w:szCs w:val="18"/>
          <w:lang w:val="en-US" w:eastAsia="en-US"/>
        </w:rPr>
        <w:t xml:space="preserve">strategic tool and </w:t>
      </w:r>
      <w:r w:rsidRPr="00F90D9E">
        <w:rPr>
          <w:rFonts w:eastAsia="Calibri"/>
          <w:szCs w:val="18"/>
          <w:lang w:val="en-US" w:eastAsia="en-US"/>
        </w:rPr>
        <w:t xml:space="preserve">managerial </w:t>
      </w:r>
      <w:r>
        <w:rPr>
          <w:rFonts w:eastAsia="Calibri"/>
          <w:szCs w:val="18"/>
          <w:lang w:val="en-US" w:eastAsia="en-US"/>
        </w:rPr>
        <w:t xml:space="preserve">knowledge to </w:t>
      </w:r>
      <w:r w:rsidRPr="00F90D9E">
        <w:rPr>
          <w:rFonts w:eastAsia="Calibri"/>
          <w:szCs w:val="18"/>
          <w:lang w:val="en-US" w:eastAsia="en-US"/>
        </w:rPr>
        <w:t xml:space="preserve">govern a company and implement </w:t>
      </w:r>
      <w:r>
        <w:rPr>
          <w:rFonts w:eastAsia="Calibri"/>
          <w:szCs w:val="18"/>
          <w:lang w:val="en-US" w:eastAsia="en-US"/>
        </w:rPr>
        <w:t>effective</w:t>
      </w:r>
      <w:r w:rsidRPr="00F90D9E">
        <w:rPr>
          <w:rFonts w:eastAsia="Calibri"/>
          <w:szCs w:val="18"/>
          <w:lang w:val="en-US" w:eastAsia="en-US"/>
        </w:rPr>
        <w:t xml:space="preserve"> strategies especially in the field of digital and emerging technologies</w:t>
      </w:r>
      <w:r>
        <w:rPr>
          <w:rFonts w:eastAsia="Calibri"/>
          <w:szCs w:val="18"/>
          <w:lang w:val="en-US" w:eastAsia="en-US"/>
        </w:rPr>
        <w:t xml:space="preserve"> (e.g., AI, blockchain, big data etc.)</w:t>
      </w:r>
      <w:r w:rsidRPr="00F90D9E">
        <w:rPr>
          <w:rFonts w:eastAsia="Calibri"/>
          <w:szCs w:val="18"/>
          <w:lang w:val="en-US" w:eastAsia="en-US"/>
        </w:rPr>
        <w:t xml:space="preserve">. Successful management of organizations in the </w:t>
      </w:r>
      <w:r>
        <w:rPr>
          <w:rFonts w:eastAsia="Calibri"/>
          <w:szCs w:val="18"/>
          <w:lang w:val="en-US" w:eastAsia="en-US"/>
        </w:rPr>
        <w:t>tech era</w:t>
      </w:r>
      <w:r w:rsidRPr="00F90D9E">
        <w:rPr>
          <w:rFonts w:eastAsia="Calibri"/>
          <w:szCs w:val="18"/>
          <w:lang w:val="en-US" w:eastAsia="en-US"/>
        </w:rPr>
        <w:t xml:space="preserve"> requires a strategic approach </w:t>
      </w:r>
      <w:r>
        <w:rPr>
          <w:rFonts w:eastAsia="Calibri"/>
          <w:szCs w:val="18"/>
          <w:lang w:val="en-US" w:eastAsia="en-US"/>
        </w:rPr>
        <w:t>to decision-making with the need to</w:t>
      </w:r>
      <w:r w:rsidRPr="00F90D9E">
        <w:rPr>
          <w:rFonts w:eastAsia="Calibri"/>
          <w:szCs w:val="18"/>
          <w:lang w:val="en-US" w:eastAsia="en-US"/>
        </w:rPr>
        <w:t xml:space="preserve"> rethink the company's </w:t>
      </w:r>
      <w:r>
        <w:rPr>
          <w:rFonts w:eastAsia="Calibri"/>
          <w:szCs w:val="18"/>
          <w:lang w:val="en-US" w:eastAsia="en-US"/>
        </w:rPr>
        <w:t>purpose</w:t>
      </w:r>
      <w:r w:rsidRPr="00F90D9E">
        <w:rPr>
          <w:rFonts w:eastAsia="Calibri"/>
          <w:szCs w:val="18"/>
          <w:lang w:val="en-US" w:eastAsia="en-US"/>
        </w:rPr>
        <w:t xml:space="preserve">, structure, resources and processes to </w:t>
      </w:r>
      <w:r>
        <w:rPr>
          <w:rFonts w:eastAsia="Calibri"/>
          <w:szCs w:val="18"/>
          <w:lang w:val="en-US" w:eastAsia="en-US"/>
        </w:rPr>
        <w:t xml:space="preserve">create value, compete, innovate and grow. This course, then, offers </w:t>
      </w:r>
      <w:r w:rsidRPr="00F90D9E">
        <w:rPr>
          <w:rFonts w:eastAsia="Calibri"/>
          <w:szCs w:val="18"/>
          <w:lang w:val="en-US" w:eastAsia="en-US"/>
        </w:rPr>
        <w:t>a comprehensive knowledge on th</w:t>
      </w:r>
      <w:r>
        <w:rPr>
          <w:rFonts w:eastAsia="Calibri"/>
          <w:szCs w:val="18"/>
          <w:lang w:val="en-US" w:eastAsia="en-US"/>
        </w:rPr>
        <w:t>e strategies and managerial practices to win in</w:t>
      </w:r>
      <w:r w:rsidRPr="00F90D9E">
        <w:rPr>
          <w:rFonts w:eastAsia="Calibri"/>
          <w:szCs w:val="18"/>
          <w:lang w:val="en-US" w:eastAsia="en-US"/>
        </w:rPr>
        <w:t xml:space="preserve"> such fast-changing technological industries</w:t>
      </w:r>
      <w:r>
        <w:rPr>
          <w:rFonts w:eastAsia="Calibri"/>
          <w:szCs w:val="18"/>
          <w:lang w:val="en-US" w:eastAsia="en-US"/>
        </w:rPr>
        <w:t xml:space="preserve"> to ensure a sustainable competitive advantage</w:t>
      </w:r>
      <w:r w:rsidRPr="00F90D9E">
        <w:rPr>
          <w:rFonts w:eastAsia="Calibri"/>
          <w:szCs w:val="18"/>
          <w:lang w:val="en-US" w:eastAsia="en-US"/>
        </w:rPr>
        <w:t>.</w:t>
      </w:r>
      <w:r w:rsidR="008B6178" w:rsidRPr="008B6178">
        <w:rPr>
          <w:rFonts w:eastAsia="Calibri"/>
          <w:szCs w:val="18"/>
          <w:lang w:val="en-US" w:eastAsia="en-US"/>
        </w:rPr>
        <w:t xml:space="preserve"> From a general management perspective, the course builds skills and competences required to </w:t>
      </w:r>
      <w:r w:rsidR="008B6178">
        <w:rPr>
          <w:rFonts w:eastAsia="Calibri"/>
          <w:szCs w:val="18"/>
          <w:lang w:val="en-US" w:eastAsia="en-US"/>
        </w:rPr>
        <w:t>assess industries and firm strategies with problem solving and critical thinking competencies also through real case studies of data-driven and tech-based firms.</w:t>
      </w:r>
      <w:r w:rsidR="008B6178" w:rsidRPr="008B6178">
        <w:rPr>
          <w:rFonts w:eastAsia="Calibri"/>
          <w:szCs w:val="18"/>
          <w:lang w:val="en-GB" w:eastAsia="en-US"/>
        </w:rPr>
        <w:t xml:space="preserve"> </w:t>
      </w:r>
      <w:r w:rsidR="008B6178" w:rsidRPr="00542488">
        <w:rPr>
          <w:rFonts w:eastAsia="Calibri"/>
          <w:szCs w:val="18"/>
          <w:lang w:val="en-GB" w:eastAsia="en-US"/>
        </w:rPr>
        <w:t xml:space="preserve">Students who complete this class will be able to (i) </w:t>
      </w:r>
      <w:r w:rsidR="008B6178" w:rsidRPr="00542488">
        <w:rPr>
          <w:rFonts w:eastAsia="Calibri"/>
          <w:b/>
          <w:bCs/>
          <w:szCs w:val="18"/>
          <w:lang w:val="en-GB" w:eastAsia="en-US"/>
        </w:rPr>
        <w:t>know</w:t>
      </w:r>
      <w:r w:rsidR="008B6178" w:rsidRPr="00542488">
        <w:rPr>
          <w:rFonts w:eastAsia="Calibri"/>
          <w:szCs w:val="18"/>
          <w:lang w:val="en-GB" w:eastAsia="en-US"/>
        </w:rPr>
        <w:t xml:space="preserve"> and understand </w:t>
      </w:r>
      <w:r w:rsidR="008B6178">
        <w:rPr>
          <w:rFonts w:eastAsia="Calibri"/>
          <w:szCs w:val="18"/>
          <w:lang w:val="en-GB" w:eastAsia="en-US"/>
        </w:rPr>
        <w:t xml:space="preserve">industries and </w:t>
      </w:r>
      <w:r w:rsidR="008B6178" w:rsidRPr="00542488">
        <w:rPr>
          <w:rFonts w:eastAsia="Calibri"/>
          <w:szCs w:val="18"/>
          <w:lang w:val="en-GB" w:eastAsia="en-US"/>
        </w:rPr>
        <w:t xml:space="preserve">business value drivers and </w:t>
      </w:r>
      <w:r w:rsidR="008B6178">
        <w:rPr>
          <w:rFonts w:eastAsia="Calibri"/>
          <w:szCs w:val="18"/>
          <w:lang w:val="en-GB" w:eastAsia="en-US"/>
        </w:rPr>
        <w:t xml:space="preserve">asses </w:t>
      </w:r>
      <w:r w:rsidR="008B6178" w:rsidRPr="00542488">
        <w:rPr>
          <w:rFonts w:eastAsia="Calibri"/>
          <w:szCs w:val="18"/>
          <w:lang w:val="en-GB" w:eastAsia="en-US"/>
        </w:rPr>
        <w:t>the opportunities related to the digital transformation</w:t>
      </w:r>
      <w:r w:rsidR="008B6178">
        <w:rPr>
          <w:rFonts w:eastAsia="Calibri"/>
          <w:szCs w:val="18"/>
          <w:lang w:val="en-GB" w:eastAsia="en-US"/>
        </w:rPr>
        <w:t xml:space="preserve">; </w:t>
      </w:r>
      <w:r w:rsidR="008B6178" w:rsidRPr="00542488">
        <w:rPr>
          <w:rFonts w:eastAsia="Calibri"/>
          <w:szCs w:val="18"/>
          <w:lang w:val="en-GB" w:eastAsia="en-US"/>
        </w:rPr>
        <w:t xml:space="preserve">(ii) </w:t>
      </w:r>
      <w:r w:rsidR="008B6178" w:rsidRPr="00542488">
        <w:rPr>
          <w:rFonts w:eastAsia="Calibri"/>
          <w:b/>
          <w:bCs/>
          <w:szCs w:val="18"/>
          <w:lang w:val="en-GB" w:eastAsia="en-US"/>
        </w:rPr>
        <w:t>apply</w:t>
      </w:r>
      <w:r w:rsidR="008B6178" w:rsidRPr="00542488">
        <w:rPr>
          <w:rFonts w:eastAsia="Calibri"/>
          <w:szCs w:val="18"/>
          <w:lang w:val="en-GB" w:eastAsia="en-US"/>
        </w:rPr>
        <w:t xml:space="preserve"> </w:t>
      </w:r>
      <w:r w:rsidR="008B6178" w:rsidRPr="00542488">
        <w:rPr>
          <w:szCs w:val="18"/>
          <w:lang w:val="en-GB"/>
        </w:rPr>
        <w:t xml:space="preserve">complex reasoning and formulate successful business strategies, with problem solving </w:t>
      </w:r>
      <w:r w:rsidR="008B6178">
        <w:rPr>
          <w:szCs w:val="18"/>
          <w:lang w:val="en-GB"/>
        </w:rPr>
        <w:t>and critical thinking approaches</w:t>
      </w:r>
      <w:r w:rsidR="008B6178">
        <w:rPr>
          <w:rFonts w:eastAsia="Calibri"/>
          <w:szCs w:val="18"/>
          <w:lang w:val="en-GB" w:eastAsia="en-US"/>
        </w:rPr>
        <w:t xml:space="preserve">; </w:t>
      </w:r>
      <w:r w:rsidR="008B6178" w:rsidRPr="00542488">
        <w:rPr>
          <w:rFonts w:eastAsia="Calibri"/>
          <w:szCs w:val="18"/>
          <w:lang w:val="en-GB" w:eastAsia="en-US"/>
        </w:rPr>
        <w:t xml:space="preserve">(iii) clearly </w:t>
      </w:r>
      <w:r w:rsidR="008B6178" w:rsidRPr="00542488">
        <w:rPr>
          <w:rFonts w:eastAsia="Calibri"/>
          <w:b/>
          <w:bCs/>
          <w:szCs w:val="18"/>
          <w:lang w:val="en-GB" w:eastAsia="en-US"/>
        </w:rPr>
        <w:t>communicate</w:t>
      </w:r>
      <w:r w:rsidR="008B6178" w:rsidRPr="00542488">
        <w:rPr>
          <w:rFonts w:eastAsia="Calibri"/>
          <w:szCs w:val="18"/>
          <w:lang w:val="en-GB" w:eastAsia="en-US"/>
        </w:rPr>
        <w:t xml:space="preserve"> the contents of their </w:t>
      </w:r>
      <w:r w:rsidR="008B6178">
        <w:rPr>
          <w:rFonts w:eastAsia="Calibri"/>
          <w:szCs w:val="18"/>
          <w:lang w:val="en-GB" w:eastAsia="en-US"/>
        </w:rPr>
        <w:t xml:space="preserve">assessments on real cases of tech and non-tech based firms, with critical thinking and, </w:t>
      </w:r>
      <w:r w:rsidR="008B6178" w:rsidRPr="00542488">
        <w:rPr>
          <w:rFonts w:eastAsia="Calibri"/>
          <w:szCs w:val="18"/>
          <w:lang w:val="en-GB" w:eastAsia="en-US"/>
        </w:rPr>
        <w:t xml:space="preserve">on the basis of the acquired knowledge, interlock with experts and not experts.  </w:t>
      </w:r>
    </w:p>
    <w:p w14:paraId="68FDA342" w14:textId="7E15CFBE" w:rsidR="00042742" w:rsidRPr="00542488" w:rsidRDefault="00DF4C51" w:rsidP="001744BF">
      <w:pPr>
        <w:tabs>
          <w:tab w:val="clear" w:pos="284"/>
        </w:tabs>
        <w:spacing w:before="240" w:after="120" w:line="240" w:lineRule="auto"/>
        <w:jc w:val="left"/>
        <w:rPr>
          <w:szCs w:val="20"/>
          <w:lang w:val="en-GB"/>
        </w:rPr>
      </w:pPr>
      <w:r w:rsidRPr="00542488">
        <w:rPr>
          <w:b/>
          <w:bCs/>
          <w:i/>
          <w:iCs/>
          <w:sz w:val="18"/>
          <w:szCs w:val="18"/>
          <w:lang w:val="en-GB"/>
        </w:rPr>
        <w:t>COURSE CONTENT</w:t>
      </w:r>
    </w:p>
    <w:p w14:paraId="7553FA27" w14:textId="64FC8EFC" w:rsidR="00042742" w:rsidRPr="00542488" w:rsidRDefault="00B41644" w:rsidP="001744BF">
      <w:pPr>
        <w:pStyle w:val="Paragrafoelenco"/>
        <w:numPr>
          <w:ilvl w:val="0"/>
          <w:numId w:val="13"/>
        </w:numPr>
        <w:ind w:right="28"/>
        <w:rPr>
          <w:rFonts w:ascii="Times New Roman" w:hAnsi="Times New Roman" w:cs="Times New Roman"/>
          <w:sz w:val="20"/>
          <w:szCs w:val="18"/>
          <w:lang w:val="en-GB"/>
        </w:rPr>
      </w:pPr>
      <w:r>
        <w:rPr>
          <w:rFonts w:ascii="Times New Roman" w:hAnsi="Times New Roman" w:cs="Times New Roman"/>
          <w:sz w:val="20"/>
          <w:szCs w:val="18"/>
          <w:lang w:val="en-GB"/>
        </w:rPr>
        <w:t>Purpose and strategy making</w:t>
      </w:r>
      <w:r w:rsidR="00686329" w:rsidRPr="00542488">
        <w:rPr>
          <w:rFonts w:ascii="Times New Roman" w:hAnsi="Times New Roman" w:cs="Times New Roman"/>
          <w:sz w:val="20"/>
          <w:szCs w:val="18"/>
          <w:lang w:val="en-GB"/>
        </w:rPr>
        <w:t>;</w:t>
      </w:r>
    </w:p>
    <w:p w14:paraId="31474AA1" w14:textId="7EA6B2E8" w:rsidR="00B41644" w:rsidRDefault="00B41644"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Analysing industry attractiveness: a focus on emerging technologies</w:t>
      </w:r>
      <w:r w:rsidR="00907105">
        <w:rPr>
          <w:rFonts w:ascii="Times New Roman" w:hAnsi="Times New Roman" w:cs="Times New Roman"/>
          <w:sz w:val="20"/>
          <w:szCs w:val="18"/>
          <w:lang w:val="en-GB"/>
        </w:rPr>
        <w:t>;</w:t>
      </w:r>
    </w:p>
    <w:p w14:paraId="4EB051A7" w14:textId="6DBC7691" w:rsidR="00B41644" w:rsidRDefault="00B41644"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Assessing resources and capabilities in the digital era</w:t>
      </w:r>
      <w:r w:rsidR="00907105">
        <w:rPr>
          <w:rFonts w:ascii="Times New Roman" w:hAnsi="Times New Roman" w:cs="Times New Roman"/>
          <w:sz w:val="20"/>
          <w:szCs w:val="18"/>
          <w:lang w:val="en-GB"/>
        </w:rPr>
        <w:t>;</w:t>
      </w:r>
    </w:p>
    <w:p w14:paraId="0229DD56" w14:textId="44BA35C4" w:rsidR="00B41644" w:rsidRDefault="00B41644"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Sourc</w:t>
      </w:r>
      <w:r w:rsidR="00907105">
        <w:rPr>
          <w:rFonts w:ascii="Times New Roman" w:hAnsi="Times New Roman" w:cs="Times New Roman"/>
          <w:sz w:val="20"/>
          <w:szCs w:val="18"/>
          <w:lang w:val="en-GB"/>
        </w:rPr>
        <w:t>es of</w:t>
      </w:r>
      <w:r>
        <w:rPr>
          <w:rFonts w:ascii="Times New Roman" w:hAnsi="Times New Roman" w:cs="Times New Roman"/>
          <w:sz w:val="20"/>
          <w:szCs w:val="18"/>
          <w:lang w:val="en-GB"/>
        </w:rPr>
        <w:t xml:space="preserve"> competitive advantage in tech</w:t>
      </w:r>
      <w:r w:rsidR="00907105">
        <w:rPr>
          <w:rFonts w:ascii="Times New Roman" w:hAnsi="Times New Roman" w:cs="Times New Roman"/>
          <w:sz w:val="20"/>
          <w:szCs w:val="18"/>
          <w:lang w:val="en-GB"/>
        </w:rPr>
        <w:t>-based</w:t>
      </w:r>
      <w:r>
        <w:rPr>
          <w:rFonts w:ascii="Times New Roman" w:hAnsi="Times New Roman" w:cs="Times New Roman"/>
          <w:sz w:val="20"/>
          <w:szCs w:val="18"/>
          <w:lang w:val="en-GB"/>
        </w:rPr>
        <w:t xml:space="preserve"> and digital firms</w:t>
      </w:r>
      <w:r w:rsidR="00907105">
        <w:rPr>
          <w:rFonts w:ascii="Times New Roman" w:hAnsi="Times New Roman" w:cs="Times New Roman"/>
          <w:sz w:val="20"/>
          <w:szCs w:val="18"/>
          <w:lang w:val="en-GB"/>
        </w:rPr>
        <w:t>;</w:t>
      </w:r>
    </w:p>
    <w:p w14:paraId="014C50FC" w14:textId="715CC57D" w:rsidR="00B41644" w:rsidRDefault="00B41644"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 xml:space="preserve">Understanding industry evolution, megatrends and grand </w:t>
      </w:r>
      <w:proofErr w:type="gramStart"/>
      <w:r>
        <w:rPr>
          <w:rFonts w:ascii="Times New Roman" w:hAnsi="Times New Roman" w:cs="Times New Roman"/>
          <w:sz w:val="20"/>
          <w:szCs w:val="18"/>
          <w:lang w:val="en-GB"/>
        </w:rPr>
        <w:t>challenges</w:t>
      </w:r>
      <w:r w:rsidR="00907105">
        <w:rPr>
          <w:rFonts w:ascii="Times New Roman" w:hAnsi="Times New Roman" w:cs="Times New Roman"/>
          <w:sz w:val="20"/>
          <w:szCs w:val="18"/>
          <w:lang w:val="en-GB"/>
        </w:rPr>
        <w:t>;</w:t>
      </w:r>
      <w:proofErr w:type="gramEnd"/>
    </w:p>
    <w:p w14:paraId="280C6919" w14:textId="2A32C895" w:rsidR="00B41644" w:rsidRDefault="00B41644"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Innovat</w:t>
      </w:r>
      <w:r w:rsidR="0057606B">
        <w:rPr>
          <w:rFonts w:ascii="Times New Roman" w:hAnsi="Times New Roman" w:cs="Times New Roman"/>
          <w:sz w:val="20"/>
          <w:szCs w:val="18"/>
          <w:lang w:val="en-GB"/>
        </w:rPr>
        <w:t xml:space="preserve">ion processes in tech-based and digital firms </w:t>
      </w:r>
      <w:r w:rsidR="005D6350">
        <w:rPr>
          <w:rFonts w:ascii="Times New Roman" w:hAnsi="Times New Roman" w:cs="Times New Roman"/>
          <w:sz w:val="20"/>
          <w:szCs w:val="18"/>
          <w:lang w:val="en-GB"/>
        </w:rPr>
        <w:t>(</w:t>
      </w:r>
      <w:r w:rsidR="005D6350" w:rsidRPr="00542488">
        <w:rPr>
          <w:rFonts w:ascii="Times New Roman" w:hAnsi="Times New Roman" w:cs="Times New Roman"/>
          <w:sz w:val="20"/>
          <w:szCs w:val="18"/>
          <w:lang w:val="en-GB"/>
        </w:rPr>
        <w:t>Big Data,</w:t>
      </w:r>
      <w:r w:rsidR="005D6350" w:rsidRPr="00542488">
        <w:rPr>
          <w:rFonts w:ascii="Times New Roman" w:eastAsia="Arial Unicode MS" w:hAnsi="Times New Roman" w:cs="Times New Roman"/>
          <w:sz w:val="20"/>
          <w:szCs w:val="18"/>
          <w:bdr w:val="nil"/>
          <w:lang w:val="en-GB"/>
        </w:rPr>
        <w:t xml:space="preserve"> </w:t>
      </w:r>
      <w:r w:rsidR="005D6350">
        <w:rPr>
          <w:rFonts w:ascii="Times New Roman" w:eastAsia="Arial Unicode MS" w:hAnsi="Times New Roman" w:cs="Times New Roman"/>
          <w:sz w:val="20"/>
          <w:szCs w:val="18"/>
          <w:bdr w:val="nil"/>
          <w:lang w:val="en-GB"/>
        </w:rPr>
        <w:t>AI</w:t>
      </w:r>
      <w:r w:rsidR="005D6350" w:rsidRPr="00542488">
        <w:rPr>
          <w:rFonts w:ascii="Times New Roman" w:eastAsia="Arial Unicode MS" w:hAnsi="Times New Roman" w:cs="Times New Roman"/>
          <w:sz w:val="20"/>
          <w:szCs w:val="18"/>
          <w:bdr w:val="nil"/>
          <w:lang w:val="en-GB"/>
        </w:rPr>
        <w:t>, Blockchain, Cloud Computing and Internet of Things</w:t>
      </w:r>
      <w:r w:rsidR="005D6350">
        <w:rPr>
          <w:rFonts w:ascii="Times New Roman" w:eastAsia="Arial Unicode MS" w:hAnsi="Times New Roman" w:cs="Times New Roman"/>
          <w:sz w:val="20"/>
          <w:szCs w:val="18"/>
          <w:bdr w:val="nil"/>
          <w:lang w:val="en-GB"/>
        </w:rPr>
        <w:t>)</w:t>
      </w:r>
      <w:r w:rsidR="00907105">
        <w:rPr>
          <w:rFonts w:ascii="Times New Roman" w:hAnsi="Times New Roman" w:cs="Times New Roman"/>
          <w:sz w:val="20"/>
          <w:szCs w:val="18"/>
          <w:lang w:val="en-GB"/>
        </w:rPr>
        <w:t>;</w:t>
      </w:r>
    </w:p>
    <w:p w14:paraId="261A3735" w14:textId="034EDAF2" w:rsidR="00B41644" w:rsidRDefault="00EC46D2"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 xml:space="preserve">Horizontal and vertical </w:t>
      </w:r>
      <w:r w:rsidR="00B41644">
        <w:rPr>
          <w:rFonts w:ascii="Times New Roman" w:hAnsi="Times New Roman" w:cs="Times New Roman"/>
          <w:sz w:val="20"/>
          <w:szCs w:val="18"/>
          <w:lang w:val="en-GB"/>
        </w:rPr>
        <w:t>cope of the firm</w:t>
      </w:r>
      <w:r w:rsidR="00907105">
        <w:rPr>
          <w:rFonts w:ascii="Times New Roman" w:hAnsi="Times New Roman" w:cs="Times New Roman"/>
          <w:sz w:val="20"/>
          <w:szCs w:val="18"/>
          <w:lang w:val="en-GB"/>
        </w:rPr>
        <w:t>;</w:t>
      </w:r>
      <w:r w:rsidR="00907105" w:rsidRPr="00907105">
        <w:rPr>
          <w:rFonts w:ascii="Times New Roman" w:hAnsi="Times New Roman" w:cs="Times New Roman"/>
          <w:sz w:val="20"/>
          <w:szCs w:val="18"/>
          <w:lang w:val="en-GB"/>
        </w:rPr>
        <w:t xml:space="preserve"> </w:t>
      </w:r>
    </w:p>
    <w:p w14:paraId="21D91BD1" w14:textId="78CC9349" w:rsidR="005D6350" w:rsidRDefault="005D6350" w:rsidP="001744BF">
      <w:pPr>
        <w:pStyle w:val="Paragrafoelenco"/>
        <w:numPr>
          <w:ilvl w:val="0"/>
          <w:numId w:val="13"/>
        </w:numPr>
        <w:spacing w:line="240" w:lineRule="exact"/>
        <w:ind w:right="28"/>
        <w:rPr>
          <w:rFonts w:ascii="Times New Roman" w:hAnsi="Times New Roman" w:cs="Times New Roman"/>
          <w:sz w:val="20"/>
          <w:szCs w:val="18"/>
          <w:lang w:val="en-GB"/>
        </w:rPr>
      </w:pPr>
      <w:r>
        <w:rPr>
          <w:rFonts w:ascii="Times New Roman" w:hAnsi="Times New Roman" w:cs="Times New Roman"/>
          <w:sz w:val="20"/>
          <w:szCs w:val="18"/>
          <w:lang w:val="en-GB"/>
        </w:rPr>
        <w:t xml:space="preserve">Growth strategies </w:t>
      </w:r>
      <w:r w:rsidR="000611DA">
        <w:rPr>
          <w:rFonts w:ascii="Times New Roman" w:hAnsi="Times New Roman" w:cs="Times New Roman"/>
          <w:sz w:val="20"/>
          <w:szCs w:val="18"/>
          <w:lang w:val="en-GB"/>
        </w:rPr>
        <w:t>with a focus on tech-based and digital firms.</w:t>
      </w:r>
    </w:p>
    <w:p w14:paraId="43EC8B68" w14:textId="071127A2" w:rsidR="00DF4C51" w:rsidRPr="00775795" w:rsidRDefault="00DF4C51" w:rsidP="00DF4C51">
      <w:pPr>
        <w:tabs>
          <w:tab w:val="clear" w:pos="284"/>
        </w:tabs>
        <w:spacing w:before="240" w:after="120" w:line="220" w:lineRule="atLeast"/>
        <w:jc w:val="left"/>
        <w:rPr>
          <w:b/>
          <w:bCs/>
          <w:i/>
          <w:iCs/>
          <w:sz w:val="18"/>
          <w:szCs w:val="18"/>
          <w:lang w:val="en-GB"/>
        </w:rPr>
      </w:pPr>
      <w:r w:rsidRPr="00775795">
        <w:rPr>
          <w:b/>
          <w:bCs/>
          <w:i/>
          <w:iCs/>
          <w:sz w:val="18"/>
          <w:szCs w:val="18"/>
          <w:lang w:val="en-GB"/>
        </w:rPr>
        <w:lastRenderedPageBreak/>
        <w:t>READING LIST</w:t>
      </w:r>
      <w:r w:rsidR="009E484B" w:rsidRPr="00775795">
        <w:rPr>
          <w:rStyle w:val="Rimandonotaapidipagina"/>
          <w:b/>
          <w:bCs/>
          <w:i/>
          <w:iCs/>
          <w:sz w:val="18"/>
          <w:szCs w:val="18"/>
          <w:lang w:val="en-GB"/>
        </w:rPr>
        <w:footnoteReference w:id="1"/>
      </w:r>
    </w:p>
    <w:p w14:paraId="54EE16DF" w14:textId="2BAC34FE" w:rsidR="002B3113" w:rsidRPr="00905991" w:rsidRDefault="002B3113" w:rsidP="002B3113">
      <w:pPr>
        <w:pStyle w:val="Testo1"/>
        <w:rPr>
          <w:rFonts w:ascii="Times New Roman" w:hAnsi="Times New Roman"/>
          <w:i/>
          <w:iCs/>
          <w:sz w:val="20"/>
          <w:lang w:val="en-US"/>
        </w:rPr>
      </w:pPr>
      <w:r w:rsidRPr="00905991">
        <w:rPr>
          <w:rFonts w:ascii="Times New Roman" w:hAnsi="Times New Roman"/>
          <w:i/>
          <w:iCs/>
          <w:sz w:val="20"/>
          <w:lang w:val="en-US"/>
        </w:rPr>
        <w:t>Attending students:</w:t>
      </w:r>
    </w:p>
    <w:p w14:paraId="03E79704" w14:textId="42A607D8" w:rsidR="002B3113" w:rsidRPr="00CB2108" w:rsidRDefault="002B3113" w:rsidP="002B3113">
      <w:pPr>
        <w:pStyle w:val="Testo1"/>
        <w:numPr>
          <w:ilvl w:val="0"/>
          <w:numId w:val="14"/>
        </w:numPr>
        <w:spacing w:before="0" w:line="240" w:lineRule="auto"/>
        <w:ind w:left="284" w:hanging="284"/>
        <w:rPr>
          <w:rFonts w:ascii="Times New Roman" w:hAnsi="Times New Roman"/>
          <w:szCs w:val="18"/>
          <w:lang w:val="en-US"/>
        </w:rPr>
      </w:pPr>
      <w:r w:rsidRPr="00CB2108">
        <w:rPr>
          <w:rFonts w:ascii="Times New Roman" w:hAnsi="Times New Roman"/>
          <w:szCs w:val="18"/>
          <w:u w:val="single"/>
          <w:lang w:val="en-GB"/>
        </w:rPr>
        <w:t xml:space="preserve">Selected </w:t>
      </w:r>
      <w:r w:rsidR="00D560AA" w:rsidRPr="00CB2108">
        <w:rPr>
          <w:rFonts w:ascii="Times New Roman" w:hAnsi="Times New Roman"/>
          <w:szCs w:val="18"/>
          <w:u w:val="single"/>
          <w:lang w:val="en-GB"/>
        </w:rPr>
        <w:t>c</w:t>
      </w:r>
      <w:r w:rsidRPr="00CB2108">
        <w:rPr>
          <w:rFonts w:ascii="Times New Roman" w:hAnsi="Times New Roman"/>
          <w:szCs w:val="18"/>
          <w:u w:val="single"/>
          <w:lang w:val="en-GB"/>
        </w:rPr>
        <w:t>hapters</w:t>
      </w:r>
      <w:r w:rsidRPr="00CB2108">
        <w:rPr>
          <w:rFonts w:ascii="Times New Roman" w:hAnsi="Times New Roman"/>
          <w:szCs w:val="18"/>
          <w:lang w:val="en-US"/>
        </w:rPr>
        <w:t xml:space="preserve">: </w:t>
      </w:r>
      <w:bookmarkStart w:id="0" w:name="_Hlk145598108"/>
      <w:r w:rsidRPr="00CB2108">
        <w:rPr>
          <w:rFonts w:ascii="Times New Roman" w:hAnsi="Times New Roman"/>
          <w:szCs w:val="18"/>
          <w:lang w:val="en-US"/>
        </w:rPr>
        <w:t xml:space="preserve">Grant, R. M., &amp; Jordan, J. J. (2015). </w:t>
      </w:r>
      <w:r w:rsidRPr="00CB2108">
        <w:rPr>
          <w:rFonts w:ascii="Times New Roman" w:hAnsi="Times New Roman"/>
          <w:szCs w:val="18"/>
          <w:lang w:val="en-GB"/>
        </w:rPr>
        <w:t xml:space="preserve">Foundations of strategy. John Wiley &amp; Sons. 2th ed. </w:t>
      </w:r>
      <w:bookmarkEnd w:id="0"/>
    </w:p>
    <w:p w14:paraId="4CF04F23" w14:textId="77777777" w:rsidR="002B3113" w:rsidRPr="00CB2108" w:rsidRDefault="002B3113" w:rsidP="002B3113">
      <w:pPr>
        <w:pStyle w:val="Testo1"/>
        <w:numPr>
          <w:ilvl w:val="0"/>
          <w:numId w:val="14"/>
        </w:numPr>
        <w:spacing w:before="0" w:line="240" w:lineRule="auto"/>
        <w:ind w:left="284" w:hanging="284"/>
        <w:rPr>
          <w:rFonts w:ascii="Times New Roman" w:hAnsi="Times New Roman"/>
          <w:szCs w:val="18"/>
          <w:lang w:val="en-US"/>
        </w:rPr>
      </w:pPr>
      <w:r w:rsidRPr="00CB2108">
        <w:rPr>
          <w:rFonts w:ascii="Times New Roman" w:hAnsi="Times New Roman"/>
          <w:szCs w:val="18"/>
          <w:lang w:val="en-US"/>
        </w:rPr>
        <w:t xml:space="preserve">Teaching slides </w:t>
      </w:r>
    </w:p>
    <w:p w14:paraId="79AA3B1C" w14:textId="6EE64278" w:rsidR="002B3113" w:rsidRPr="00CB2108" w:rsidRDefault="002B3113" w:rsidP="005A200F">
      <w:pPr>
        <w:pStyle w:val="Testo1"/>
        <w:numPr>
          <w:ilvl w:val="0"/>
          <w:numId w:val="14"/>
        </w:numPr>
        <w:spacing w:before="0" w:line="240" w:lineRule="auto"/>
        <w:ind w:left="284" w:hanging="284"/>
        <w:rPr>
          <w:rFonts w:ascii="Times New Roman" w:hAnsi="Times New Roman"/>
          <w:szCs w:val="18"/>
          <w:lang w:val="en-US"/>
        </w:rPr>
      </w:pPr>
      <w:bookmarkStart w:id="1" w:name="_Hlk145598118"/>
      <w:r w:rsidRPr="00CB2108">
        <w:rPr>
          <w:rFonts w:ascii="Times New Roman" w:hAnsi="Times New Roman"/>
          <w:szCs w:val="18"/>
          <w:lang w:val="en-US"/>
        </w:rPr>
        <w:t>Video-cases</w:t>
      </w:r>
      <w:bookmarkEnd w:id="1"/>
      <w:r w:rsidR="00DB5106" w:rsidRPr="00CB2108">
        <w:rPr>
          <w:rFonts w:ascii="Times New Roman" w:hAnsi="Times New Roman"/>
          <w:szCs w:val="18"/>
          <w:lang w:val="en-US"/>
        </w:rPr>
        <w:t xml:space="preserve"> (</w:t>
      </w:r>
      <w:r w:rsidR="00DB5106" w:rsidRPr="00CB2108">
        <w:rPr>
          <w:rFonts w:ascii="Times New Roman" w:hAnsi="Times New Roman"/>
          <w:szCs w:val="18"/>
          <w:u w:val="single"/>
          <w:lang w:val="en-US"/>
        </w:rPr>
        <w:t>in-class</w:t>
      </w:r>
      <w:r w:rsidR="00DB5106" w:rsidRPr="00CB2108">
        <w:rPr>
          <w:rFonts w:ascii="Times New Roman" w:hAnsi="Times New Roman"/>
          <w:szCs w:val="18"/>
          <w:lang w:val="en-US"/>
        </w:rPr>
        <w:t>)</w:t>
      </w:r>
    </w:p>
    <w:p w14:paraId="12AA9131" w14:textId="77777777" w:rsidR="002B3113" w:rsidRPr="00905991" w:rsidRDefault="002B3113" w:rsidP="002B3113">
      <w:pPr>
        <w:pStyle w:val="Testo1"/>
        <w:rPr>
          <w:rFonts w:ascii="Times New Roman" w:hAnsi="Times New Roman"/>
          <w:i/>
          <w:iCs/>
          <w:sz w:val="20"/>
          <w:lang w:val="en-US"/>
        </w:rPr>
      </w:pPr>
      <w:r w:rsidRPr="00905991">
        <w:rPr>
          <w:rFonts w:ascii="Times New Roman" w:hAnsi="Times New Roman"/>
          <w:i/>
          <w:iCs/>
          <w:sz w:val="20"/>
          <w:lang w:val="en-US"/>
        </w:rPr>
        <w:t>Non-attending students:</w:t>
      </w:r>
    </w:p>
    <w:p w14:paraId="3490CD8F" w14:textId="6DC6DA09" w:rsidR="002B3113" w:rsidRPr="00CB2108" w:rsidRDefault="002B3113" w:rsidP="002B3113">
      <w:pPr>
        <w:pStyle w:val="Testo1"/>
        <w:numPr>
          <w:ilvl w:val="0"/>
          <w:numId w:val="14"/>
        </w:numPr>
        <w:spacing w:before="0" w:line="240" w:lineRule="auto"/>
        <w:ind w:left="284" w:hanging="284"/>
        <w:rPr>
          <w:rFonts w:ascii="Times New Roman" w:hAnsi="Times New Roman"/>
          <w:szCs w:val="18"/>
          <w:lang w:val="en-US"/>
        </w:rPr>
      </w:pPr>
      <w:r w:rsidRPr="00CB2108">
        <w:rPr>
          <w:rFonts w:ascii="Times New Roman" w:hAnsi="Times New Roman"/>
          <w:szCs w:val="18"/>
          <w:u w:val="single"/>
          <w:lang w:val="en-US"/>
        </w:rPr>
        <w:t>All chapters:</w:t>
      </w:r>
      <w:r w:rsidRPr="00CB2108">
        <w:rPr>
          <w:rFonts w:ascii="Times New Roman" w:hAnsi="Times New Roman"/>
          <w:szCs w:val="18"/>
          <w:lang w:val="en-US"/>
        </w:rPr>
        <w:t xml:space="preserve"> Grant, R. M., &amp; Jordan, J. J. (2015). Foundations of strategy. John Wiley &amp; Sons. 2th ed. </w:t>
      </w:r>
    </w:p>
    <w:p w14:paraId="4926F657" w14:textId="77777777" w:rsidR="005602DB" w:rsidRPr="00CB2108" w:rsidRDefault="005602DB" w:rsidP="005602DB">
      <w:pPr>
        <w:pStyle w:val="Testo1"/>
        <w:numPr>
          <w:ilvl w:val="0"/>
          <w:numId w:val="14"/>
        </w:numPr>
        <w:spacing w:before="0" w:line="240" w:lineRule="auto"/>
        <w:ind w:left="284" w:hanging="284"/>
        <w:rPr>
          <w:rFonts w:ascii="Times New Roman" w:hAnsi="Times New Roman"/>
          <w:szCs w:val="18"/>
          <w:lang w:val="en-US"/>
        </w:rPr>
      </w:pPr>
      <w:r w:rsidRPr="00CB2108">
        <w:rPr>
          <w:rFonts w:ascii="Times New Roman" w:hAnsi="Times New Roman"/>
          <w:szCs w:val="18"/>
          <w:lang w:val="en-US"/>
        </w:rPr>
        <w:t xml:space="preserve">Teaching slides </w:t>
      </w:r>
    </w:p>
    <w:p w14:paraId="322AA8BD" w14:textId="77777777" w:rsidR="002B3113" w:rsidRPr="00CB2108" w:rsidRDefault="002B3113" w:rsidP="002B3113">
      <w:pPr>
        <w:pStyle w:val="Testo1"/>
        <w:numPr>
          <w:ilvl w:val="0"/>
          <w:numId w:val="14"/>
        </w:numPr>
        <w:spacing w:before="0" w:line="240" w:lineRule="auto"/>
        <w:ind w:left="284" w:hanging="284"/>
        <w:rPr>
          <w:rFonts w:ascii="Times New Roman" w:hAnsi="Times New Roman"/>
          <w:szCs w:val="18"/>
          <w:lang w:val="en-US"/>
        </w:rPr>
      </w:pPr>
      <w:r w:rsidRPr="00CB2108">
        <w:rPr>
          <w:rFonts w:ascii="Times New Roman" w:hAnsi="Times New Roman"/>
          <w:szCs w:val="18"/>
          <w:lang w:val="en-US"/>
        </w:rPr>
        <w:t>Video-cases</w:t>
      </w:r>
    </w:p>
    <w:p w14:paraId="134A9106" w14:textId="2C72359D" w:rsidR="002B3113" w:rsidRPr="00CB2108" w:rsidRDefault="002B3113" w:rsidP="005A200F">
      <w:pPr>
        <w:pStyle w:val="Testo1"/>
        <w:numPr>
          <w:ilvl w:val="0"/>
          <w:numId w:val="14"/>
        </w:numPr>
        <w:spacing w:before="0" w:line="240" w:lineRule="auto"/>
        <w:ind w:left="284" w:hanging="284"/>
        <w:rPr>
          <w:rFonts w:ascii="Times New Roman" w:hAnsi="Times New Roman"/>
          <w:szCs w:val="18"/>
          <w:lang w:val="en-US"/>
        </w:rPr>
      </w:pPr>
      <w:r w:rsidRPr="00CB2108">
        <w:rPr>
          <w:rFonts w:ascii="Times New Roman" w:hAnsi="Times New Roman"/>
          <w:szCs w:val="18"/>
          <w:lang w:val="en-US"/>
        </w:rPr>
        <w:t>Mandatory readings on Blackboard</w:t>
      </w:r>
    </w:p>
    <w:p w14:paraId="3D2726A5" w14:textId="75EE6461" w:rsidR="002B3113" w:rsidRPr="00775795" w:rsidRDefault="002B3113" w:rsidP="002B3113">
      <w:pPr>
        <w:pStyle w:val="Testo1"/>
        <w:rPr>
          <w:rFonts w:ascii="Times New Roman" w:hAnsi="Times New Roman"/>
          <w:szCs w:val="18"/>
          <w:lang w:val="en-GB"/>
        </w:rPr>
      </w:pPr>
      <w:r w:rsidRPr="00775795">
        <w:rPr>
          <w:rFonts w:ascii="Times New Roman" w:hAnsi="Times New Roman"/>
          <w:szCs w:val="18"/>
          <w:lang w:val="en-GB"/>
        </w:rPr>
        <w:t>A list of voluntary reading material to be made available on the Blackboard platform</w:t>
      </w:r>
      <w:r w:rsidR="00BB46D5" w:rsidRPr="00775795">
        <w:rPr>
          <w:rFonts w:ascii="Times New Roman" w:hAnsi="Times New Roman"/>
          <w:szCs w:val="18"/>
          <w:lang w:val="en-GB"/>
        </w:rPr>
        <w:t xml:space="preserve"> both to attending and non-attending students</w:t>
      </w:r>
      <w:r w:rsidRPr="00775795">
        <w:rPr>
          <w:rFonts w:ascii="Times New Roman" w:hAnsi="Times New Roman"/>
          <w:szCs w:val="18"/>
          <w:lang w:val="en-GB"/>
        </w:rPr>
        <w:t>.</w:t>
      </w:r>
    </w:p>
    <w:p w14:paraId="30C617CE" w14:textId="77777777" w:rsidR="00DF4C51" w:rsidRPr="00775795" w:rsidRDefault="00DF4C51" w:rsidP="00DF4C51">
      <w:pPr>
        <w:spacing w:before="240" w:after="120"/>
        <w:rPr>
          <w:b/>
          <w:i/>
          <w:sz w:val="18"/>
          <w:szCs w:val="18"/>
          <w:lang w:val="en-GB"/>
        </w:rPr>
      </w:pPr>
      <w:r w:rsidRPr="00775795">
        <w:rPr>
          <w:b/>
          <w:i/>
          <w:sz w:val="18"/>
          <w:szCs w:val="18"/>
          <w:lang w:val="en-GB"/>
        </w:rPr>
        <w:t>TEACHING METHOD</w:t>
      </w:r>
    </w:p>
    <w:p w14:paraId="7FD505F9" w14:textId="4AF48B49" w:rsidR="00D560AA" w:rsidRPr="00775795" w:rsidRDefault="00D560AA" w:rsidP="00775795">
      <w:pPr>
        <w:pStyle w:val="Testo2"/>
        <w:rPr>
          <w:rFonts w:eastAsia="Calibri"/>
        </w:rPr>
      </w:pPr>
      <w:r w:rsidRPr="00775795">
        <w:rPr>
          <w:rFonts w:eastAsia="Calibri"/>
        </w:rPr>
        <w:t xml:space="preserve">The course consists of lectures, in class case-studies and case-problem discussions, and guest speaker sessions on specific topics. Attending Students are </w:t>
      </w:r>
      <w:r w:rsidR="00BB46D5" w:rsidRPr="00775795">
        <w:rPr>
          <w:rFonts w:eastAsia="Calibri"/>
        </w:rPr>
        <w:t>encouraged</w:t>
      </w:r>
      <w:r w:rsidRPr="00775795">
        <w:rPr>
          <w:rFonts w:eastAsia="Calibri"/>
        </w:rPr>
        <w:t xml:space="preserve"> to </w:t>
      </w:r>
      <w:r w:rsidR="00BB46D5" w:rsidRPr="00775795">
        <w:rPr>
          <w:rFonts w:eastAsia="Calibri"/>
        </w:rPr>
        <w:t xml:space="preserve">actively </w:t>
      </w:r>
      <w:r w:rsidRPr="00775795">
        <w:rPr>
          <w:rFonts w:eastAsia="Calibri"/>
        </w:rPr>
        <w:t>participate in class</w:t>
      </w:r>
      <w:r w:rsidR="00BB46D5" w:rsidRPr="00775795">
        <w:rPr>
          <w:rFonts w:eastAsia="Calibri"/>
        </w:rPr>
        <w:t xml:space="preserve"> enriching their competences on discussing case studies and critically assess strategies and industry dynamics.</w:t>
      </w:r>
    </w:p>
    <w:p w14:paraId="2710113C" w14:textId="77777777" w:rsidR="00DF4C51" w:rsidRPr="00775795" w:rsidRDefault="00DF4C51" w:rsidP="00DF4C51">
      <w:pPr>
        <w:spacing w:before="240" w:after="120"/>
        <w:rPr>
          <w:b/>
          <w:i/>
          <w:sz w:val="18"/>
          <w:szCs w:val="18"/>
          <w:lang w:val="en-GB"/>
        </w:rPr>
      </w:pPr>
      <w:r w:rsidRPr="00775795">
        <w:rPr>
          <w:b/>
          <w:i/>
          <w:sz w:val="18"/>
          <w:szCs w:val="18"/>
          <w:lang w:val="en-GB"/>
        </w:rPr>
        <w:t>ASSESSMENT METHOD AND CRITERIA</w:t>
      </w:r>
    </w:p>
    <w:p w14:paraId="2F5BBF86" w14:textId="77777777" w:rsidR="00905991" w:rsidRPr="00775795" w:rsidRDefault="00BB46D5" w:rsidP="00775795">
      <w:pPr>
        <w:pStyle w:val="Testo2"/>
        <w:rPr>
          <w:rFonts w:eastAsia="Calibri"/>
        </w:rPr>
      </w:pPr>
      <w:r w:rsidRPr="00775795">
        <w:rPr>
          <w:rFonts w:eastAsia="Calibri"/>
        </w:rPr>
        <w:t xml:space="preserve">The exam for attending students and non-attending students will be in written form. </w:t>
      </w:r>
    </w:p>
    <w:p w14:paraId="06A00475" w14:textId="346F5D51" w:rsidR="00BB46D5" w:rsidRPr="00775795" w:rsidRDefault="00DE2679" w:rsidP="00775795">
      <w:pPr>
        <w:pStyle w:val="Testo2"/>
        <w:rPr>
          <w:rFonts w:eastAsia="Calibri"/>
        </w:rPr>
      </w:pPr>
      <w:r w:rsidRPr="00775795">
        <w:rPr>
          <w:rFonts w:eastAsia="Calibri"/>
        </w:rPr>
        <w:t>The grade</w:t>
      </w:r>
      <w:r w:rsidR="00F75037" w:rsidRPr="00775795">
        <w:rPr>
          <w:rFonts w:eastAsia="Calibri"/>
        </w:rPr>
        <w:t xml:space="preserve"> </w:t>
      </w:r>
      <w:r w:rsidR="00D52A90" w:rsidRPr="00775795">
        <w:rPr>
          <w:rFonts w:eastAsia="Calibri"/>
        </w:rPr>
        <w:t xml:space="preserve">of the </w:t>
      </w:r>
      <w:r w:rsidR="00AD2821" w:rsidRPr="00775795">
        <w:rPr>
          <w:rFonts w:eastAsia="Calibri"/>
        </w:rPr>
        <w:t>m</w:t>
      </w:r>
      <w:r w:rsidR="00D52A90" w:rsidRPr="00775795">
        <w:rPr>
          <w:rFonts w:eastAsia="Calibri"/>
        </w:rPr>
        <w:t xml:space="preserve">odule </w:t>
      </w:r>
      <w:r w:rsidRPr="00775795">
        <w:rPr>
          <w:rFonts w:eastAsia="Calibri"/>
        </w:rPr>
        <w:t xml:space="preserve">will be based on </w:t>
      </w:r>
      <w:r w:rsidR="00BB46D5" w:rsidRPr="00775795">
        <w:rPr>
          <w:rFonts w:eastAsia="Calibri"/>
        </w:rPr>
        <w:t>multiple-choice and/or open questions</w:t>
      </w:r>
      <w:r w:rsidR="009F3B67" w:rsidRPr="00775795">
        <w:rPr>
          <w:rFonts w:eastAsia="Calibri"/>
        </w:rPr>
        <w:t xml:space="preserve">, also using practical cases and examples discussed in class. </w:t>
      </w:r>
    </w:p>
    <w:p w14:paraId="53059E9D" w14:textId="76AEB757" w:rsidR="00A24825" w:rsidRPr="00956727" w:rsidRDefault="00B13A93" w:rsidP="00775795">
      <w:pPr>
        <w:pStyle w:val="Testo2"/>
        <w:rPr>
          <w:b/>
          <w:bCs/>
        </w:rPr>
      </w:pPr>
      <w:r w:rsidRPr="00956727">
        <w:rPr>
          <w:b/>
          <w:bCs/>
        </w:rPr>
        <w:t xml:space="preserve">The </w:t>
      </w:r>
      <w:r w:rsidR="009F3B67" w:rsidRPr="00956727">
        <w:rPr>
          <w:b/>
          <w:bCs/>
        </w:rPr>
        <w:t xml:space="preserve">final grade </w:t>
      </w:r>
      <w:r w:rsidRPr="00956727">
        <w:rPr>
          <w:b/>
          <w:bCs/>
        </w:rPr>
        <w:t xml:space="preserve">will be based on the </w:t>
      </w:r>
      <w:r w:rsidR="00E41778" w:rsidRPr="00956727">
        <w:rPr>
          <w:b/>
          <w:bCs/>
        </w:rPr>
        <w:t>results of</w:t>
      </w:r>
      <w:r w:rsidRPr="00956727">
        <w:rPr>
          <w:b/>
          <w:bCs/>
        </w:rPr>
        <w:t xml:space="preserve"> Principles of Management </w:t>
      </w:r>
      <w:r w:rsidR="00E97493" w:rsidRPr="00956727">
        <w:rPr>
          <w:b/>
          <w:bCs/>
        </w:rPr>
        <w:t>M</w:t>
      </w:r>
      <w:r w:rsidRPr="00956727">
        <w:rPr>
          <w:b/>
          <w:bCs/>
        </w:rPr>
        <w:t>odule (</w:t>
      </w:r>
      <w:r w:rsidR="009F3B67" w:rsidRPr="00956727">
        <w:rPr>
          <w:b/>
          <w:bCs/>
        </w:rPr>
        <w:t>50%</w:t>
      </w:r>
      <w:r w:rsidRPr="00956727">
        <w:rPr>
          <w:b/>
          <w:bCs/>
        </w:rPr>
        <w:t>) and on the answer to the que</w:t>
      </w:r>
      <w:r w:rsidR="00E97493" w:rsidRPr="00956727">
        <w:rPr>
          <w:b/>
          <w:bCs/>
        </w:rPr>
        <w:t>ry</w:t>
      </w:r>
      <w:r w:rsidRPr="00956727">
        <w:rPr>
          <w:b/>
          <w:bCs/>
        </w:rPr>
        <w:t xml:space="preserve"> related to the Tech Law Module (</w:t>
      </w:r>
      <w:r w:rsidR="009F3B67" w:rsidRPr="00956727">
        <w:rPr>
          <w:b/>
          <w:bCs/>
        </w:rPr>
        <w:t>50%</w:t>
      </w:r>
      <w:r w:rsidRPr="00956727">
        <w:rPr>
          <w:b/>
          <w:bCs/>
        </w:rPr>
        <w:t>)</w:t>
      </w:r>
      <w:r w:rsidR="00E97493" w:rsidRPr="00956727">
        <w:rPr>
          <w:b/>
          <w:bCs/>
        </w:rPr>
        <w:t>.</w:t>
      </w:r>
    </w:p>
    <w:p w14:paraId="1DECF7CF" w14:textId="0E7F76C9" w:rsidR="00DB05B5" w:rsidRPr="00775795" w:rsidRDefault="00DB05B5" w:rsidP="00DB05B5">
      <w:pPr>
        <w:spacing w:before="240" w:after="120"/>
        <w:rPr>
          <w:b/>
          <w:bCs/>
          <w:i/>
          <w:iCs/>
          <w:sz w:val="18"/>
          <w:szCs w:val="18"/>
          <w:lang w:val="en-GB"/>
        </w:rPr>
      </w:pPr>
      <w:r w:rsidRPr="00775795">
        <w:rPr>
          <w:b/>
          <w:bCs/>
          <w:i/>
          <w:iCs/>
          <w:sz w:val="18"/>
          <w:szCs w:val="18"/>
          <w:lang w:val="en-GB"/>
        </w:rPr>
        <w:t>NOTES AND PREREQUISITES</w:t>
      </w:r>
    </w:p>
    <w:p w14:paraId="0A1343E8" w14:textId="6322E3A0" w:rsidR="00042742" w:rsidRPr="00775795" w:rsidRDefault="00042742" w:rsidP="00775795">
      <w:pPr>
        <w:pStyle w:val="Testo2"/>
        <w:rPr>
          <w:rFonts w:eastAsia="Calibri"/>
        </w:rPr>
      </w:pPr>
      <w:r w:rsidRPr="00775795">
        <w:rPr>
          <w:rFonts w:eastAsia="Calibri"/>
        </w:rPr>
        <w:t xml:space="preserve">No pre-requisites or preparatory courses required. </w:t>
      </w:r>
    </w:p>
    <w:p w14:paraId="2020C851" w14:textId="77777777" w:rsidR="00042742" w:rsidRPr="00775795" w:rsidRDefault="00042742" w:rsidP="00775795">
      <w:pPr>
        <w:pStyle w:val="Testo2"/>
        <w:rPr>
          <w:rFonts w:eastAsia="Calibri"/>
        </w:rPr>
      </w:pPr>
      <w:r w:rsidRPr="00775795">
        <w:rPr>
          <w:rFonts w:eastAsia="Calibri"/>
        </w:rPr>
        <w:t>Attendance is strongly recommended.</w:t>
      </w:r>
    </w:p>
    <w:p w14:paraId="49528A99" w14:textId="77777777" w:rsidR="00042742" w:rsidRPr="00775795" w:rsidRDefault="00042742" w:rsidP="00775795">
      <w:pPr>
        <w:pStyle w:val="Testo2"/>
        <w:rPr>
          <w:rFonts w:eastAsia="Calibri"/>
        </w:rPr>
      </w:pPr>
      <w:r w:rsidRPr="00775795">
        <w:rPr>
          <w:rFonts w:eastAsia="Calibri"/>
        </w:rPr>
        <w:t xml:space="preserve">Detailed syllabus, timetable and coursework material to be made available on the Blackboard platform. </w:t>
      </w:r>
    </w:p>
    <w:p w14:paraId="4CDD1E95" w14:textId="3CED0FB0" w:rsidR="00DB05B5" w:rsidRPr="00542488" w:rsidRDefault="00DF4C51" w:rsidP="00D57C0C">
      <w:pPr>
        <w:pStyle w:val="Testo1"/>
        <w:spacing w:before="360"/>
        <w:rPr>
          <w:smallCaps/>
          <w:lang w:val="en-GB"/>
        </w:rPr>
      </w:pPr>
      <w:r w:rsidRPr="00542488">
        <w:rPr>
          <w:smallCaps/>
          <w:lang w:val="en-GB"/>
        </w:rPr>
        <w:t xml:space="preserve">II Module - </w:t>
      </w:r>
      <w:r w:rsidR="00444ECF" w:rsidRPr="00542488">
        <w:rPr>
          <w:i/>
          <w:spacing w:val="-5"/>
          <w:sz w:val="20"/>
          <w:lang w:val="en-GB"/>
        </w:rPr>
        <w:t xml:space="preserve">Tech Law </w:t>
      </w:r>
      <w:r w:rsidR="00444ECF" w:rsidRPr="00542488">
        <w:rPr>
          <w:sz w:val="20"/>
          <w:lang w:val="en-GB"/>
        </w:rPr>
        <w:t>(</w:t>
      </w:r>
      <w:r w:rsidRPr="00542488">
        <w:rPr>
          <w:sz w:val="20"/>
          <w:lang w:val="en-GB"/>
        </w:rPr>
        <w:t>Prof. Michele Faioli</w:t>
      </w:r>
      <w:r w:rsidR="00444ECF" w:rsidRPr="00542488">
        <w:rPr>
          <w:sz w:val="20"/>
          <w:lang w:val="en-GB"/>
        </w:rPr>
        <w:t>)</w:t>
      </w:r>
    </w:p>
    <w:p w14:paraId="01393659" w14:textId="77777777" w:rsidR="00A24825" w:rsidRPr="00542488" w:rsidRDefault="00A24825" w:rsidP="00A24825">
      <w:pPr>
        <w:spacing w:before="240" w:after="120"/>
        <w:rPr>
          <w:b/>
          <w:i/>
          <w:sz w:val="18"/>
          <w:lang w:val="en-GB"/>
        </w:rPr>
      </w:pPr>
      <w:r w:rsidRPr="00542488">
        <w:rPr>
          <w:b/>
          <w:i/>
          <w:sz w:val="18"/>
          <w:lang w:val="en-GB"/>
        </w:rPr>
        <w:t xml:space="preserve">COURSE AIMS AND INTENDED LEARNING OUTCOMES </w:t>
      </w:r>
    </w:p>
    <w:p w14:paraId="022759B2" w14:textId="1302E2B9" w:rsidR="006B25FF" w:rsidRPr="00542488" w:rsidRDefault="006B25FF" w:rsidP="006B25FF">
      <w:pPr>
        <w:rPr>
          <w:szCs w:val="20"/>
          <w:lang w:val="en-GB"/>
        </w:rPr>
      </w:pPr>
      <w:r w:rsidRPr="00542488">
        <w:rPr>
          <w:szCs w:val="20"/>
          <w:lang w:val="en-GB"/>
        </w:rPr>
        <w:lastRenderedPageBreak/>
        <w:t>This is a class in tec</w:t>
      </w:r>
      <w:r w:rsidR="00494E73" w:rsidRPr="00542488">
        <w:rPr>
          <w:szCs w:val="20"/>
          <w:lang w:val="en-GB"/>
        </w:rPr>
        <w:t xml:space="preserve">h </w:t>
      </w:r>
      <w:r w:rsidRPr="00542488">
        <w:rPr>
          <w:szCs w:val="20"/>
          <w:lang w:val="en-GB"/>
        </w:rPr>
        <w:t xml:space="preserve">law. </w:t>
      </w:r>
      <w:r w:rsidR="000130C9" w:rsidRPr="00542488">
        <w:rPr>
          <w:szCs w:val="20"/>
          <w:lang w:val="en-GB"/>
        </w:rPr>
        <w:t xml:space="preserve">It is designed to teach students what they need to know to work effectively with technologists, and vice versa, in firms with advanced </w:t>
      </w:r>
      <w:r w:rsidR="00DD655D" w:rsidRPr="00542488">
        <w:rPr>
          <w:szCs w:val="20"/>
          <w:lang w:val="en-GB"/>
        </w:rPr>
        <w:t>approaches to artificial intelligence, robot and smart organi</w:t>
      </w:r>
      <w:r w:rsidR="00EF140F" w:rsidRPr="00542488">
        <w:rPr>
          <w:szCs w:val="20"/>
          <w:lang w:val="en-GB"/>
        </w:rPr>
        <w:t>s</w:t>
      </w:r>
      <w:r w:rsidR="00DD655D" w:rsidRPr="00542488">
        <w:rPr>
          <w:szCs w:val="20"/>
          <w:lang w:val="en-GB"/>
        </w:rPr>
        <w:t>ations</w:t>
      </w:r>
      <w:r w:rsidR="000130C9" w:rsidRPr="00542488">
        <w:rPr>
          <w:szCs w:val="20"/>
          <w:lang w:val="en-GB"/>
        </w:rPr>
        <w:t xml:space="preserve">. Topics covered may vary based on recent events, but will include advanced technologies at firm level, </w:t>
      </w:r>
      <w:r w:rsidR="00FE3A3D" w:rsidRPr="00542488">
        <w:rPr>
          <w:szCs w:val="20"/>
          <w:lang w:val="en-GB"/>
        </w:rPr>
        <w:t xml:space="preserve">robotics, </w:t>
      </w:r>
      <w:r w:rsidR="000130C9" w:rsidRPr="00542488">
        <w:rPr>
          <w:szCs w:val="20"/>
          <w:lang w:val="en-GB"/>
        </w:rPr>
        <w:t xml:space="preserve">smart work, jurisdiction, regulations, blockchain and social application, cybersecurity. </w:t>
      </w:r>
      <w:r w:rsidR="00494E73" w:rsidRPr="00542488">
        <w:rPr>
          <w:szCs w:val="20"/>
          <w:lang w:val="en-GB"/>
        </w:rPr>
        <w:t xml:space="preserve">The </w:t>
      </w:r>
      <w:r w:rsidR="00FD73BE" w:rsidRPr="00542488">
        <w:rPr>
          <w:szCs w:val="20"/>
          <w:lang w:val="en-GB"/>
        </w:rPr>
        <w:t xml:space="preserve">class </w:t>
      </w:r>
      <w:r w:rsidR="00494E73" w:rsidRPr="00542488">
        <w:rPr>
          <w:szCs w:val="20"/>
          <w:lang w:val="en-GB"/>
        </w:rPr>
        <w:t>is meant as a</w:t>
      </w:r>
      <w:r w:rsidR="00FE3A3D" w:rsidRPr="00542488">
        <w:rPr>
          <w:szCs w:val="20"/>
          <w:lang w:val="en-GB"/>
        </w:rPr>
        <w:t>n</w:t>
      </w:r>
      <w:r w:rsidR="00494E73" w:rsidRPr="00542488">
        <w:rPr>
          <w:szCs w:val="20"/>
          <w:lang w:val="en-GB"/>
        </w:rPr>
        <w:t xml:space="preserve"> introduction to these issues and, while some questions might be answered and some legal solutions might be found, the aim will be to help students develop a framework for answering these questions now and in the years to come. </w:t>
      </w:r>
      <w:r w:rsidRPr="00542488">
        <w:rPr>
          <w:szCs w:val="20"/>
          <w:lang w:val="en-GB"/>
        </w:rPr>
        <w:t>Students who complete this c</w:t>
      </w:r>
      <w:r w:rsidR="00B9277F" w:rsidRPr="00542488">
        <w:rPr>
          <w:szCs w:val="20"/>
          <w:lang w:val="en-GB"/>
        </w:rPr>
        <w:t>lass</w:t>
      </w:r>
      <w:r w:rsidRPr="00542488">
        <w:rPr>
          <w:szCs w:val="20"/>
          <w:lang w:val="en-GB"/>
        </w:rPr>
        <w:t xml:space="preserve"> will be able to (i) </w:t>
      </w:r>
      <w:r w:rsidRPr="00542488">
        <w:rPr>
          <w:b/>
          <w:bCs/>
          <w:szCs w:val="20"/>
          <w:lang w:val="en-GB"/>
        </w:rPr>
        <w:t>know and understand</w:t>
      </w:r>
      <w:r w:rsidRPr="00542488">
        <w:rPr>
          <w:szCs w:val="20"/>
          <w:lang w:val="en-GB"/>
        </w:rPr>
        <w:t xml:space="preserve"> through the likely legal implications of </w:t>
      </w:r>
      <w:r w:rsidR="00494E73" w:rsidRPr="00542488">
        <w:rPr>
          <w:szCs w:val="20"/>
          <w:lang w:val="en-GB"/>
        </w:rPr>
        <w:t>artificial intelligence and robot</w:t>
      </w:r>
      <w:r w:rsidRPr="00542488">
        <w:rPr>
          <w:szCs w:val="20"/>
          <w:lang w:val="en-GB"/>
        </w:rPr>
        <w:t xml:space="preserve">, with new ideas and critical thinking and (ii) </w:t>
      </w:r>
      <w:r w:rsidRPr="00542488">
        <w:rPr>
          <w:b/>
          <w:bCs/>
          <w:szCs w:val="20"/>
          <w:lang w:val="en-GB"/>
        </w:rPr>
        <w:t>apply</w:t>
      </w:r>
      <w:r w:rsidRPr="00542488">
        <w:rPr>
          <w:szCs w:val="20"/>
          <w:lang w:val="en-GB"/>
        </w:rPr>
        <w:t xml:space="preserve"> complex reasoning and formulate successful legal strategies, with problem solving method, in relation to artificial intelligence, workplace process transformation, big data, encryption, blockchain</w:t>
      </w:r>
      <w:r w:rsidR="00494E73" w:rsidRPr="00542488">
        <w:rPr>
          <w:szCs w:val="20"/>
          <w:lang w:val="en-GB"/>
        </w:rPr>
        <w:t>,</w:t>
      </w:r>
      <w:r w:rsidRPr="00542488">
        <w:rPr>
          <w:szCs w:val="20"/>
          <w:lang w:val="en-GB"/>
        </w:rPr>
        <w:t xml:space="preserve"> in tech/firms 4.0. The students will be also able to (iii) </w:t>
      </w:r>
      <w:r w:rsidRPr="00542488">
        <w:rPr>
          <w:b/>
          <w:bCs/>
          <w:szCs w:val="20"/>
          <w:lang w:val="en-GB"/>
        </w:rPr>
        <w:t>clearly communicate</w:t>
      </w:r>
      <w:r w:rsidRPr="00542488">
        <w:rPr>
          <w:szCs w:val="20"/>
          <w:lang w:val="en-GB"/>
        </w:rPr>
        <w:t xml:space="preserve"> the contents of their research themes, and, on the basis of the acquired knowledge in tech, interlock with experts and not experts.  </w:t>
      </w:r>
    </w:p>
    <w:p w14:paraId="4E362C03" w14:textId="77777777" w:rsidR="00066445" w:rsidRPr="00542488" w:rsidRDefault="00066445" w:rsidP="00066445">
      <w:pPr>
        <w:spacing w:before="240" w:after="120"/>
        <w:rPr>
          <w:b/>
          <w:bCs/>
          <w:sz w:val="18"/>
          <w:szCs w:val="18"/>
          <w:lang w:val="en-GB"/>
        </w:rPr>
      </w:pPr>
      <w:r w:rsidRPr="00542488">
        <w:rPr>
          <w:b/>
          <w:bCs/>
          <w:i/>
          <w:iCs/>
          <w:sz w:val="18"/>
          <w:szCs w:val="18"/>
          <w:lang w:val="en-GB"/>
        </w:rPr>
        <w:t>COURSE CONTENT</w:t>
      </w:r>
    </w:p>
    <w:p w14:paraId="0F433C32" w14:textId="64F58BE4" w:rsidR="00066445" w:rsidRPr="00542488" w:rsidRDefault="00066445" w:rsidP="00066445">
      <w:pPr>
        <w:rPr>
          <w:szCs w:val="20"/>
          <w:lang w:val="en-GB"/>
        </w:rPr>
      </w:pPr>
      <w:r w:rsidRPr="00542488">
        <w:rPr>
          <w:szCs w:val="20"/>
          <w:lang w:val="en-GB"/>
        </w:rPr>
        <w:t xml:space="preserve">The areas we will explore are below indicated: </w:t>
      </w:r>
    </w:p>
    <w:p w14:paraId="655CD6FE" w14:textId="55BB0BDE" w:rsidR="00C260EA" w:rsidRPr="00542488" w:rsidRDefault="00C260EA" w:rsidP="00C260EA">
      <w:pPr>
        <w:tabs>
          <w:tab w:val="clear" w:pos="284"/>
          <w:tab w:val="left" w:pos="709"/>
        </w:tabs>
        <w:ind w:left="426"/>
        <w:rPr>
          <w:szCs w:val="20"/>
          <w:lang w:val="en-GB"/>
        </w:rPr>
      </w:pPr>
      <w:r w:rsidRPr="00542488">
        <w:rPr>
          <w:szCs w:val="20"/>
          <w:lang w:val="en-GB"/>
        </w:rPr>
        <w:t>1.</w:t>
      </w:r>
      <w:r w:rsidRPr="00542488">
        <w:rPr>
          <w:szCs w:val="20"/>
          <w:lang w:val="en-GB"/>
        </w:rPr>
        <w:tab/>
      </w:r>
      <w:r w:rsidRPr="00542488">
        <w:rPr>
          <w:i/>
          <w:szCs w:val="20"/>
          <w:lang w:val="en-GB"/>
        </w:rPr>
        <w:t xml:space="preserve">Tech Jurisdictions </w:t>
      </w:r>
      <w:r w:rsidRPr="00542488">
        <w:rPr>
          <w:szCs w:val="20"/>
          <w:lang w:val="en-GB"/>
        </w:rPr>
        <w:t xml:space="preserve">- Is tech itself a jurisdiction, a place that could have laws of its own, a cyberspace with its own regulation? Tech is a global network, so jurisdictional questions are inevitable. This area is all about conflicts: there is the conflict between (radical) markets and consumers, tech users and the governments who disapprove of what they are doing, conflicts between different governments with different policies. A tech network brings together people in different places. Its aim is to bridge geographic divisions. When those divisions are transnational, the network raises jurisdictional issues just by being a network. We will explore different facets of jurisdiction. We will also explore the problem of overlapping national laws on a global network and how EU/USA laws deals with the question of jurisdiction over online activity. </w:t>
      </w:r>
    </w:p>
    <w:p w14:paraId="41788A7E" w14:textId="43C6F15A" w:rsidR="00982AE2" w:rsidRPr="00542488" w:rsidRDefault="00C260EA" w:rsidP="00C260EA">
      <w:pPr>
        <w:tabs>
          <w:tab w:val="clear" w:pos="284"/>
          <w:tab w:val="left" w:pos="709"/>
        </w:tabs>
        <w:ind w:left="426"/>
        <w:rPr>
          <w:szCs w:val="20"/>
          <w:lang w:val="en-GB"/>
        </w:rPr>
      </w:pPr>
      <w:r w:rsidRPr="00542488">
        <w:rPr>
          <w:szCs w:val="20"/>
          <w:lang w:val="en-GB"/>
        </w:rPr>
        <w:t>2</w:t>
      </w:r>
      <w:r w:rsidR="00195BE5" w:rsidRPr="00542488">
        <w:rPr>
          <w:szCs w:val="20"/>
          <w:lang w:val="en-GB"/>
        </w:rPr>
        <w:t>.</w:t>
      </w:r>
      <w:r w:rsidR="00195BE5" w:rsidRPr="00542488">
        <w:rPr>
          <w:szCs w:val="20"/>
          <w:lang w:val="en-GB"/>
        </w:rPr>
        <w:tab/>
      </w:r>
      <w:r w:rsidR="00494E73" w:rsidRPr="00542488">
        <w:rPr>
          <w:i/>
          <w:szCs w:val="20"/>
          <w:lang w:val="en-GB"/>
        </w:rPr>
        <w:t xml:space="preserve">The Law of Robots &amp; </w:t>
      </w:r>
      <w:r w:rsidR="00871C40" w:rsidRPr="00542488">
        <w:rPr>
          <w:i/>
          <w:szCs w:val="20"/>
          <w:lang w:val="en-GB"/>
        </w:rPr>
        <w:t>Advanced</w:t>
      </w:r>
      <w:r w:rsidR="00494E73" w:rsidRPr="00542488">
        <w:rPr>
          <w:i/>
          <w:szCs w:val="20"/>
          <w:lang w:val="en-GB"/>
        </w:rPr>
        <w:t xml:space="preserve"> Technologies</w:t>
      </w:r>
      <w:r w:rsidRPr="00542488">
        <w:rPr>
          <w:i/>
          <w:szCs w:val="20"/>
          <w:lang w:val="en-GB"/>
        </w:rPr>
        <w:t>. AI, Data, Platforms and Digital Markets. Liabilities</w:t>
      </w:r>
      <w:r w:rsidR="00494E73" w:rsidRPr="00542488">
        <w:rPr>
          <w:i/>
          <w:szCs w:val="20"/>
          <w:lang w:val="en-GB"/>
        </w:rPr>
        <w:t xml:space="preserve"> </w:t>
      </w:r>
      <w:r w:rsidR="00B13A93" w:rsidRPr="00542488">
        <w:rPr>
          <w:szCs w:val="20"/>
          <w:lang w:val="en-GB"/>
        </w:rPr>
        <w:t>–</w:t>
      </w:r>
      <w:r w:rsidR="00FD73BE" w:rsidRPr="00542488">
        <w:rPr>
          <w:szCs w:val="20"/>
          <w:lang w:val="en-GB"/>
        </w:rPr>
        <w:t xml:space="preserve"> </w:t>
      </w:r>
      <w:r w:rsidR="00F44BCF" w:rsidRPr="00542488">
        <w:rPr>
          <w:szCs w:val="20"/>
          <w:lang w:val="en-GB"/>
        </w:rPr>
        <w:t xml:space="preserve">Should the law ensure that human-robot interactions occur in ways that are safe? </w:t>
      </w:r>
      <w:r w:rsidR="00FD73BE" w:rsidRPr="00542488">
        <w:rPr>
          <w:szCs w:val="20"/>
          <w:lang w:val="en-GB"/>
        </w:rPr>
        <w:t xml:space="preserve">What happens when a self-driving car or a robot causes an accident? </w:t>
      </w:r>
      <w:r w:rsidR="00431128" w:rsidRPr="00542488">
        <w:rPr>
          <w:szCs w:val="20"/>
          <w:lang w:val="en-GB"/>
        </w:rPr>
        <w:t>What happens when robots interact with humans</w:t>
      </w:r>
      <w:r w:rsidR="0085540D" w:rsidRPr="00542488">
        <w:rPr>
          <w:szCs w:val="20"/>
          <w:lang w:val="en-GB"/>
        </w:rPr>
        <w:t>,</w:t>
      </w:r>
      <w:r w:rsidR="00431128" w:rsidRPr="00542488">
        <w:rPr>
          <w:szCs w:val="20"/>
          <w:lang w:val="en-GB"/>
        </w:rPr>
        <w:t xml:space="preserve"> at firm level, patrolling and organizing the work to perform? </w:t>
      </w:r>
      <w:r w:rsidR="00871C40" w:rsidRPr="00542488">
        <w:rPr>
          <w:szCs w:val="20"/>
          <w:lang w:val="en-GB"/>
        </w:rPr>
        <w:t>When a</w:t>
      </w:r>
      <w:r w:rsidR="00F44BCF" w:rsidRPr="00542488">
        <w:rPr>
          <w:szCs w:val="20"/>
          <w:lang w:val="en-GB"/>
        </w:rPr>
        <w:t>n</w:t>
      </w:r>
      <w:r w:rsidR="00871C40" w:rsidRPr="00542488">
        <w:rPr>
          <w:szCs w:val="20"/>
          <w:lang w:val="en-GB"/>
        </w:rPr>
        <w:t xml:space="preserve"> intelligent machine breaches a contract, upon whom do we serve process to initiate legal action? </w:t>
      </w:r>
      <w:r w:rsidR="0085540D" w:rsidRPr="00542488">
        <w:rPr>
          <w:szCs w:val="20"/>
          <w:lang w:val="en-GB"/>
        </w:rPr>
        <w:t>How will the law respond to such change?</w:t>
      </w:r>
    </w:p>
    <w:p w14:paraId="268B9646" w14:textId="3412A324" w:rsidR="00066445" w:rsidRPr="00542488" w:rsidRDefault="00DD655D" w:rsidP="00DD655D">
      <w:pPr>
        <w:tabs>
          <w:tab w:val="clear" w:pos="284"/>
          <w:tab w:val="left" w:pos="709"/>
        </w:tabs>
        <w:ind w:left="426"/>
        <w:rPr>
          <w:szCs w:val="20"/>
          <w:lang w:val="en-GB"/>
        </w:rPr>
      </w:pPr>
      <w:r w:rsidRPr="00542488">
        <w:rPr>
          <w:szCs w:val="20"/>
          <w:lang w:val="en-GB"/>
        </w:rPr>
        <w:t>2</w:t>
      </w:r>
      <w:r w:rsidR="00195BE5" w:rsidRPr="00542488">
        <w:rPr>
          <w:szCs w:val="20"/>
          <w:lang w:val="en-GB"/>
        </w:rPr>
        <w:t>.</w:t>
      </w:r>
      <w:r w:rsidR="00195BE5" w:rsidRPr="00542488">
        <w:rPr>
          <w:szCs w:val="20"/>
          <w:lang w:val="en-GB"/>
        </w:rPr>
        <w:tab/>
      </w:r>
      <w:r w:rsidR="00E32639" w:rsidRPr="00542488">
        <w:rPr>
          <w:i/>
          <w:szCs w:val="20"/>
          <w:lang w:val="en-GB"/>
        </w:rPr>
        <w:t>Blockchain</w:t>
      </w:r>
      <w:r w:rsidR="00972D5B" w:rsidRPr="00542488">
        <w:rPr>
          <w:i/>
          <w:szCs w:val="20"/>
          <w:lang w:val="en-GB"/>
        </w:rPr>
        <w:t>, Smart Contracts</w:t>
      </w:r>
      <w:r w:rsidR="00E32639" w:rsidRPr="00542488">
        <w:rPr>
          <w:i/>
          <w:szCs w:val="20"/>
          <w:lang w:val="en-GB"/>
        </w:rPr>
        <w:t xml:space="preserve"> and Social Application</w:t>
      </w:r>
      <w:r w:rsidR="00066445" w:rsidRPr="00542488">
        <w:rPr>
          <w:szCs w:val="20"/>
          <w:lang w:val="en-GB"/>
        </w:rPr>
        <w:t xml:space="preserve"> </w:t>
      </w:r>
      <w:r w:rsidR="00FD73BE" w:rsidRPr="00542488">
        <w:rPr>
          <w:szCs w:val="20"/>
          <w:lang w:val="en-GB"/>
        </w:rPr>
        <w:t xml:space="preserve">- </w:t>
      </w:r>
      <w:r w:rsidR="00E32639" w:rsidRPr="00542488">
        <w:rPr>
          <w:szCs w:val="20"/>
          <w:lang w:val="en-GB"/>
        </w:rPr>
        <w:t xml:space="preserve">Blockchains, decentralized databases that are maintained by a distributed network of computers, present </w:t>
      </w:r>
      <w:proofErr w:type="gramStart"/>
      <w:r w:rsidR="00E32639" w:rsidRPr="00542488">
        <w:rPr>
          <w:szCs w:val="20"/>
          <w:lang w:val="en-GB"/>
        </w:rPr>
        <w:t>challenges</w:t>
      </w:r>
      <w:proofErr w:type="gramEnd"/>
      <w:r w:rsidR="00E32639" w:rsidRPr="00542488">
        <w:rPr>
          <w:szCs w:val="20"/>
          <w:lang w:val="en-GB"/>
        </w:rPr>
        <w:t xml:space="preserve"> and opportunities. Blockchains offer potential to </w:t>
      </w:r>
      <w:r w:rsidR="00431128" w:rsidRPr="00542488">
        <w:rPr>
          <w:szCs w:val="20"/>
          <w:lang w:val="en-GB"/>
        </w:rPr>
        <w:lastRenderedPageBreak/>
        <w:t>change</w:t>
      </w:r>
      <w:r w:rsidR="00E32639" w:rsidRPr="00542488">
        <w:rPr>
          <w:szCs w:val="20"/>
          <w:lang w:val="en-GB"/>
        </w:rPr>
        <w:t xml:space="preserve"> </w:t>
      </w:r>
      <w:r w:rsidR="00C260EA" w:rsidRPr="00542488">
        <w:rPr>
          <w:szCs w:val="20"/>
          <w:lang w:val="en-GB"/>
        </w:rPr>
        <w:t xml:space="preserve">social, </w:t>
      </w:r>
      <w:proofErr w:type="gramStart"/>
      <w:r w:rsidR="00E32639" w:rsidRPr="00542488">
        <w:rPr>
          <w:szCs w:val="20"/>
          <w:lang w:val="en-GB"/>
        </w:rPr>
        <w:t>financial</w:t>
      </w:r>
      <w:proofErr w:type="gramEnd"/>
      <w:r w:rsidR="00972D5B" w:rsidRPr="00542488">
        <w:rPr>
          <w:szCs w:val="20"/>
          <w:lang w:val="en-GB"/>
        </w:rPr>
        <w:t xml:space="preserve"> and corporate</w:t>
      </w:r>
      <w:r w:rsidR="00E32639" w:rsidRPr="00542488">
        <w:rPr>
          <w:szCs w:val="20"/>
          <w:lang w:val="en-GB"/>
        </w:rPr>
        <w:t xml:space="preserve"> systems, to promo</w:t>
      </w:r>
      <w:r w:rsidR="009012E1" w:rsidRPr="00542488">
        <w:rPr>
          <w:szCs w:val="20"/>
          <w:lang w:val="en-GB"/>
        </w:rPr>
        <w:t>t</w:t>
      </w:r>
      <w:r w:rsidR="00E32639" w:rsidRPr="00542488">
        <w:rPr>
          <w:szCs w:val="20"/>
          <w:lang w:val="en-GB"/>
        </w:rPr>
        <w:t xml:space="preserve">e </w:t>
      </w:r>
      <w:r w:rsidR="00431128" w:rsidRPr="00542488">
        <w:rPr>
          <w:szCs w:val="20"/>
          <w:lang w:val="en-GB"/>
        </w:rPr>
        <w:t xml:space="preserve">new </w:t>
      </w:r>
      <w:r w:rsidR="00E32639" w:rsidRPr="00542488">
        <w:rPr>
          <w:szCs w:val="20"/>
          <w:lang w:val="en-GB"/>
        </w:rPr>
        <w:t xml:space="preserve">social application for workers and citizens, to support participation and democratized access to resources, to change the way we contract with one another. </w:t>
      </w:r>
      <w:r w:rsidR="00C260EA" w:rsidRPr="00542488">
        <w:rPr>
          <w:szCs w:val="20"/>
          <w:lang w:val="en-GB"/>
        </w:rPr>
        <w:t>How will the law respond to such change? Is blockchain itself a jurisdiction, a place that could have laws of its own, a cyberspace with its own regulation?</w:t>
      </w:r>
    </w:p>
    <w:p w14:paraId="1A8DC601" w14:textId="470501B5" w:rsidR="00066445" w:rsidRPr="00542488" w:rsidRDefault="00066445" w:rsidP="00195BE5">
      <w:pPr>
        <w:spacing w:before="240" w:after="120" w:line="220" w:lineRule="atLeast"/>
        <w:rPr>
          <w:b/>
          <w:bCs/>
          <w:i/>
          <w:iCs/>
          <w:sz w:val="18"/>
          <w:szCs w:val="18"/>
          <w:lang w:val="en-GB"/>
        </w:rPr>
      </w:pPr>
      <w:r w:rsidRPr="00542488">
        <w:rPr>
          <w:b/>
          <w:bCs/>
          <w:i/>
          <w:iCs/>
          <w:sz w:val="18"/>
          <w:szCs w:val="18"/>
          <w:lang w:val="en-GB"/>
        </w:rPr>
        <w:t>READING LIST</w:t>
      </w:r>
      <w:r w:rsidR="009E484B" w:rsidRPr="00542488">
        <w:rPr>
          <w:rStyle w:val="Rimandonotaapidipagina"/>
          <w:b/>
          <w:bCs/>
          <w:i/>
          <w:iCs/>
          <w:sz w:val="18"/>
          <w:szCs w:val="18"/>
          <w:lang w:val="en-GB"/>
        </w:rPr>
        <w:footnoteReference w:id="2"/>
      </w:r>
    </w:p>
    <w:p w14:paraId="374628B5" w14:textId="5D589FA4" w:rsidR="006B25FF" w:rsidRPr="00542488" w:rsidRDefault="00066445" w:rsidP="00A24825">
      <w:pPr>
        <w:pStyle w:val="Testo1"/>
        <w:spacing w:before="0"/>
        <w:rPr>
          <w:lang w:val="en-GB"/>
        </w:rPr>
      </w:pPr>
      <w:r w:rsidRPr="00542488">
        <w:rPr>
          <w:lang w:val="en-GB"/>
        </w:rPr>
        <w:t>Most readings will be taken from these casebooks and from materials I developed during my recent researches (</w:t>
      </w:r>
      <w:r w:rsidR="00431128" w:rsidRPr="00542488">
        <w:rPr>
          <w:lang w:val="en-GB"/>
        </w:rPr>
        <w:t xml:space="preserve">visit </w:t>
      </w:r>
      <w:r w:rsidR="0085540D" w:rsidRPr="00542488">
        <w:rPr>
          <w:lang w:val="en-GB"/>
        </w:rPr>
        <w:t>regularly</w:t>
      </w:r>
      <w:r w:rsidR="00431128" w:rsidRPr="00542488">
        <w:rPr>
          <w:lang w:val="en-GB"/>
        </w:rPr>
        <w:t xml:space="preserve"> our University’s </w:t>
      </w:r>
      <w:r w:rsidRPr="00542488">
        <w:rPr>
          <w:lang w:val="en-GB"/>
        </w:rPr>
        <w:t>blackboard</w:t>
      </w:r>
      <w:r w:rsidR="00431128" w:rsidRPr="00542488">
        <w:rPr>
          <w:lang w:val="en-GB"/>
        </w:rPr>
        <w:t xml:space="preserve"> page</w:t>
      </w:r>
      <w:r w:rsidRPr="00542488">
        <w:rPr>
          <w:lang w:val="en-GB"/>
        </w:rPr>
        <w:t xml:space="preserve">): </w:t>
      </w:r>
    </w:p>
    <w:p w14:paraId="4914A1AA" w14:textId="0E452FB7" w:rsidR="00431128" w:rsidRPr="00542488" w:rsidRDefault="002E08D8" w:rsidP="00C260EA">
      <w:pPr>
        <w:pStyle w:val="Testo1"/>
        <w:spacing w:before="0"/>
        <w:rPr>
          <w:lang w:val="en-GB"/>
        </w:rPr>
      </w:pPr>
      <w:r w:rsidRPr="00542488">
        <w:rPr>
          <w:smallCaps/>
          <w:sz w:val="16"/>
          <w:lang w:val="en-GB"/>
        </w:rPr>
        <w:t>A.</w:t>
      </w:r>
      <w:r w:rsidR="00275185" w:rsidRPr="00542488">
        <w:rPr>
          <w:smallCaps/>
          <w:sz w:val="16"/>
          <w:lang w:val="en-GB"/>
        </w:rPr>
        <w:t xml:space="preserve"> </w:t>
      </w:r>
      <w:r w:rsidRPr="00542488">
        <w:rPr>
          <w:smallCaps/>
          <w:sz w:val="16"/>
          <w:lang w:val="en-GB"/>
        </w:rPr>
        <w:t>Bartolini</w:t>
      </w:r>
      <w:r w:rsidR="00431128" w:rsidRPr="00542488">
        <w:rPr>
          <w:lang w:val="en-GB"/>
        </w:rPr>
        <w:t xml:space="preserve">, </w:t>
      </w:r>
      <w:r w:rsidR="00930E1D" w:rsidRPr="00542488">
        <w:rPr>
          <w:i/>
          <w:lang w:val="en-GB"/>
        </w:rPr>
        <w:t>Artificial Intelligence and Civil Liability</w:t>
      </w:r>
      <w:r w:rsidR="00431128" w:rsidRPr="00542488">
        <w:rPr>
          <w:lang w:val="en-GB"/>
        </w:rPr>
        <w:t xml:space="preserve">, </w:t>
      </w:r>
      <w:r w:rsidR="00930E1D" w:rsidRPr="00542488">
        <w:rPr>
          <w:lang w:val="en-GB"/>
        </w:rPr>
        <w:t xml:space="preserve">2020, Available at </w:t>
      </w:r>
      <w:hyperlink r:id="rId8" w:history="1">
        <w:r w:rsidR="00930E1D" w:rsidRPr="00542488">
          <w:rPr>
            <w:rStyle w:val="Collegamentoipertestuale"/>
            <w:color w:val="auto"/>
            <w:lang w:val="en-GB"/>
          </w:rPr>
          <w:t>https://www.europarl.europa.eu/RegData/etudes/STUD/2020/621926/IPOL_STU(2020)621926_EN.pdf</w:t>
        </w:r>
      </w:hyperlink>
      <w:r w:rsidR="00930E1D" w:rsidRPr="00542488">
        <w:rPr>
          <w:lang w:val="en-GB"/>
        </w:rPr>
        <w:t xml:space="preserve"> </w:t>
      </w:r>
    </w:p>
    <w:p w14:paraId="2205C268" w14:textId="2FF8631D" w:rsidR="00C260EA" w:rsidRPr="00542488" w:rsidRDefault="00C260EA" w:rsidP="00C260EA">
      <w:pPr>
        <w:pStyle w:val="Testo1"/>
        <w:spacing w:before="0"/>
        <w:rPr>
          <w:lang w:val="en-GB"/>
        </w:rPr>
      </w:pPr>
      <w:r w:rsidRPr="00542488">
        <w:rPr>
          <w:rFonts w:ascii="Times New Roman" w:hAnsi="Times New Roman"/>
          <w:smallCaps/>
          <w:lang w:val="en-GB"/>
        </w:rPr>
        <w:t>R. Calo</w:t>
      </w:r>
      <w:r w:rsidRPr="00542488">
        <w:rPr>
          <w:lang w:val="en-GB"/>
        </w:rPr>
        <w:t xml:space="preserve">, </w:t>
      </w:r>
      <w:r w:rsidRPr="00542488">
        <w:rPr>
          <w:i/>
          <w:iCs/>
          <w:lang w:val="en-GB"/>
        </w:rPr>
        <w:t>Artificial Intelligence Policy: A Primer and Roadmap</w:t>
      </w:r>
      <w:r w:rsidRPr="00542488">
        <w:rPr>
          <w:lang w:val="en-GB"/>
        </w:rPr>
        <w:t>, 51 U.C. DAVIS L. REV. 399 (2017)</w:t>
      </w:r>
    </w:p>
    <w:p w14:paraId="61318F9A" w14:textId="23ABCE53" w:rsidR="00C260EA" w:rsidRPr="00542488" w:rsidRDefault="00C260EA" w:rsidP="00C260EA">
      <w:pPr>
        <w:pStyle w:val="Testo1"/>
        <w:spacing w:before="0"/>
        <w:rPr>
          <w:lang w:val="en-GB"/>
        </w:rPr>
      </w:pPr>
      <w:r w:rsidRPr="00542488">
        <w:rPr>
          <w:rFonts w:ascii="Times New Roman" w:hAnsi="Times New Roman"/>
          <w:smallCaps/>
          <w:lang w:val="en-GB"/>
        </w:rPr>
        <w:t>M. E. Kaminski</w:t>
      </w:r>
      <w:r w:rsidRPr="00542488">
        <w:rPr>
          <w:lang w:val="en-GB"/>
        </w:rPr>
        <w:t xml:space="preserve">, Regulating the Risks of AI, </w:t>
      </w:r>
      <w:r w:rsidRPr="00542488">
        <w:rPr>
          <w:i/>
          <w:iCs/>
          <w:lang w:val="en-GB"/>
        </w:rPr>
        <w:t>Boston University Law Review, Vol. 103, 2023, U of Colorado Law Legal Studies Research Paper No. 22-21</w:t>
      </w:r>
      <w:r w:rsidRPr="00542488">
        <w:rPr>
          <w:lang w:val="en-GB"/>
        </w:rPr>
        <w:t xml:space="preserve">, Available at SSRN: </w:t>
      </w:r>
      <w:hyperlink r:id="rId9" w:history="1">
        <w:r w:rsidR="002E08D8" w:rsidRPr="00542488">
          <w:rPr>
            <w:rStyle w:val="Collegamentoipertestuale"/>
            <w:color w:val="auto"/>
            <w:lang w:val="en-GB"/>
          </w:rPr>
          <w:t>https://ssrn.com/abstract=4195066</w:t>
        </w:r>
      </w:hyperlink>
      <w:r w:rsidR="002E08D8" w:rsidRPr="00542488">
        <w:rPr>
          <w:lang w:val="en-GB"/>
        </w:rPr>
        <w:t xml:space="preserve"> </w:t>
      </w:r>
    </w:p>
    <w:p w14:paraId="2FC4790F" w14:textId="097188C8" w:rsidR="002E08D8" w:rsidRPr="00542488" w:rsidRDefault="002E08D8" w:rsidP="00C260EA">
      <w:pPr>
        <w:pStyle w:val="Testo1"/>
        <w:spacing w:before="0"/>
        <w:rPr>
          <w:lang w:val="en-GB"/>
        </w:rPr>
      </w:pPr>
      <w:r w:rsidRPr="00542488">
        <w:rPr>
          <w:rFonts w:ascii="Times New Roman" w:hAnsi="Times New Roman"/>
          <w:smallCaps/>
          <w:lang w:val="en-GB"/>
        </w:rPr>
        <w:t>M. Almada and N. Petit</w:t>
      </w:r>
      <w:r w:rsidRPr="00542488">
        <w:rPr>
          <w:lang w:val="en-GB"/>
        </w:rPr>
        <w:t xml:space="preserve">, </w:t>
      </w:r>
      <w:r w:rsidRPr="00542488">
        <w:rPr>
          <w:i/>
          <w:iCs/>
          <w:lang w:val="en-GB"/>
        </w:rPr>
        <w:t>The EU AI Act: Between Product Safety and Fundamental Rights</w:t>
      </w:r>
      <w:r w:rsidRPr="00542488">
        <w:rPr>
          <w:lang w:val="en-GB"/>
        </w:rPr>
        <w:t xml:space="preserve">. Available at SSRN: </w:t>
      </w:r>
      <w:hyperlink r:id="rId10" w:history="1">
        <w:r w:rsidRPr="00542488">
          <w:rPr>
            <w:rStyle w:val="Collegamentoipertestuale"/>
            <w:color w:val="auto"/>
            <w:lang w:val="en-GB"/>
          </w:rPr>
          <w:t>https://ssrn.com/abstract=4308072</w:t>
        </w:r>
      </w:hyperlink>
      <w:r w:rsidRPr="00542488">
        <w:rPr>
          <w:lang w:val="en-GB"/>
        </w:rPr>
        <w:t xml:space="preserve">  </w:t>
      </w:r>
    </w:p>
    <w:p w14:paraId="18C83168" w14:textId="30CC152C" w:rsidR="002E08D8" w:rsidRPr="00542488" w:rsidRDefault="002E08D8" w:rsidP="00C260EA">
      <w:pPr>
        <w:pStyle w:val="Testo1"/>
        <w:spacing w:before="0"/>
        <w:rPr>
          <w:lang w:val="en-GB"/>
        </w:rPr>
      </w:pPr>
      <w:r w:rsidRPr="00542488">
        <w:rPr>
          <w:rFonts w:ascii="Times New Roman" w:hAnsi="Times New Roman"/>
          <w:smallCaps/>
          <w:lang w:val="en-GB"/>
        </w:rPr>
        <w:t>N. Moreno Belloso and N. Petit</w:t>
      </w:r>
      <w:r w:rsidRPr="00542488">
        <w:rPr>
          <w:lang w:val="en-GB"/>
        </w:rPr>
        <w:t xml:space="preserve">, </w:t>
      </w:r>
      <w:r w:rsidRPr="00542488">
        <w:rPr>
          <w:i/>
          <w:iCs/>
          <w:lang w:val="en-GB"/>
        </w:rPr>
        <w:t>The EU Digital Markets Act (DMA): A Competition Hand in a Regulatory Glove</w:t>
      </w:r>
      <w:r w:rsidRPr="00542488">
        <w:rPr>
          <w:lang w:val="en-GB"/>
        </w:rPr>
        <w:t xml:space="preserve">, (2023) European Law Review (Forthcoming), Available at SSRN: </w:t>
      </w:r>
      <w:hyperlink r:id="rId11" w:history="1">
        <w:r w:rsidRPr="00542488">
          <w:rPr>
            <w:rStyle w:val="Collegamentoipertestuale"/>
            <w:color w:val="auto"/>
            <w:lang w:val="en-GB"/>
          </w:rPr>
          <w:t>https://ssrn.com/abstract=4411743</w:t>
        </w:r>
      </w:hyperlink>
      <w:r w:rsidRPr="00542488">
        <w:rPr>
          <w:lang w:val="en-GB"/>
        </w:rPr>
        <w:t xml:space="preserve"> </w:t>
      </w:r>
    </w:p>
    <w:p w14:paraId="5D0B0541" w14:textId="6C80594C" w:rsidR="002D321B" w:rsidRPr="00542488" w:rsidRDefault="002D321B" w:rsidP="00C260EA">
      <w:pPr>
        <w:pStyle w:val="Testo1"/>
        <w:spacing w:before="0"/>
        <w:rPr>
          <w:lang w:val="en-GB"/>
        </w:rPr>
      </w:pPr>
      <w:r w:rsidRPr="00542488">
        <w:rPr>
          <w:rFonts w:ascii="Times New Roman" w:hAnsi="Times New Roman"/>
          <w:smallCaps/>
          <w:lang w:val="en-GB"/>
        </w:rPr>
        <w:t>J. Grimmelmann and A. J. Windawi</w:t>
      </w:r>
      <w:r w:rsidRPr="00542488">
        <w:rPr>
          <w:lang w:val="en-GB"/>
        </w:rPr>
        <w:t xml:space="preserve">, </w:t>
      </w:r>
      <w:r w:rsidRPr="00542488">
        <w:rPr>
          <w:i/>
          <w:iCs/>
          <w:lang w:val="en-GB"/>
        </w:rPr>
        <w:t>Blockchains as Infrastructure and Semicommons</w:t>
      </w:r>
      <w:r w:rsidRPr="00542488">
        <w:rPr>
          <w:lang w:val="en-GB"/>
        </w:rPr>
        <w:t xml:space="preserve">, William &amp; Mary Law Review (2023, Forthcoming), Available at SSRN: </w:t>
      </w:r>
      <w:hyperlink r:id="rId12" w:history="1">
        <w:r w:rsidRPr="00542488">
          <w:rPr>
            <w:rStyle w:val="Collegamentoipertestuale"/>
            <w:color w:val="auto"/>
            <w:lang w:val="en-GB"/>
          </w:rPr>
          <w:t>https://ssrn.com/abstract=4152068</w:t>
        </w:r>
      </w:hyperlink>
      <w:r w:rsidRPr="00542488">
        <w:rPr>
          <w:lang w:val="en-GB"/>
        </w:rPr>
        <w:t xml:space="preserve"> </w:t>
      </w:r>
    </w:p>
    <w:p w14:paraId="58EB685F" w14:textId="77777777" w:rsidR="00AA15B0" w:rsidRPr="00542488" w:rsidRDefault="00AA15B0" w:rsidP="00AA15B0">
      <w:pPr>
        <w:spacing w:before="240" w:after="120" w:line="220" w:lineRule="atLeast"/>
        <w:rPr>
          <w:b/>
          <w:bCs/>
          <w:i/>
          <w:iCs/>
          <w:sz w:val="18"/>
          <w:szCs w:val="18"/>
          <w:lang w:val="en-GB"/>
        </w:rPr>
      </w:pPr>
      <w:r w:rsidRPr="00542488">
        <w:rPr>
          <w:b/>
          <w:bCs/>
          <w:i/>
          <w:iCs/>
          <w:sz w:val="18"/>
          <w:szCs w:val="18"/>
          <w:lang w:val="en-GB"/>
        </w:rPr>
        <w:t>TEACHING METHOD</w:t>
      </w:r>
    </w:p>
    <w:p w14:paraId="5A0FEC83" w14:textId="77777777" w:rsidR="00AA15B0" w:rsidRPr="00542488" w:rsidRDefault="00AA15B0" w:rsidP="00A24825">
      <w:pPr>
        <w:pStyle w:val="Testo2"/>
        <w:rPr>
          <w:lang w:val="en-GB"/>
        </w:rPr>
      </w:pPr>
      <w:bookmarkStart w:id="2" w:name="_Hlk39525847"/>
      <w:r w:rsidRPr="00542488">
        <w:rPr>
          <w:lang w:val="en-GB"/>
        </w:rPr>
        <w:t xml:space="preserve">Students are requested to: (i) do the assigned readings (see the materials published by blackboard and the related timetable), (ii) participate in class discussions on one or two principal problem that will be listed by means of blackboard; (ii) keep materials in digital folders. </w:t>
      </w:r>
      <w:bookmarkEnd w:id="2"/>
      <w:r w:rsidRPr="00542488">
        <w:rPr>
          <w:lang w:val="en-GB"/>
        </w:rPr>
        <w:t xml:space="preserve">Our class discussion will be directed and focused to solve cases and to come up with a collective answer to the problem. Most of the readings consist of excerpts from casebooks, doctrines, judicial opinions, case law, statutes, law, CBAs. </w:t>
      </w:r>
    </w:p>
    <w:p w14:paraId="258A4E5D" w14:textId="77777777" w:rsidR="00444ECF" w:rsidRPr="00542488" w:rsidRDefault="00444ECF" w:rsidP="00444ECF">
      <w:pPr>
        <w:spacing w:before="240" w:after="120" w:line="220" w:lineRule="exact"/>
        <w:rPr>
          <w:b/>
          <w:i/>
          <w:sz w:val="18"/>
          <w:lang w:val="en-GB"/>
        </w:rPr>
      </w:pPr>
      <w:r w:rsidRPr="00542488">
        <w:rPr>
          <w:b/>
          <w:i/>
          <w:sz w:val="18"/>
          <w:lang w:val="en-GB"/>
        </w:rPr>
        <w:t>ASSESSMENT METHOD AND CRITERIA</w:t>
      </w:r>
    </w:p>
    <w:p w14:paraId="18852F56" w14:textId="44799155" w:rsidR="00545195" w:rsidRPr="00542488" w:rsidRDefault="00E97493" w:rsidP="00A24825">
      <w:pPr>
        <w:pStyle w:val="Testo2"/>
        <w:rPr>
          <w:lang w:val="en-GB"/>
        </w:rPr>
      </w:pPr>
      <w:r w:rsidRPr="00542488">
        <w:rPr>
          <w:lang w:val="en-GB"/>
        </w:rPr>
        <w:t xml:space="preserve">Written </w:t>
      </w:r>
      <w:r w:rsidR="00AA15B0" w:rsidRPr="00542488">
        <w:rPr>
          <w:lang w:val="en-GB"/>
        </w:rPr>
        <w:t xml:space="preserve">exam. </w:t>
      </w:r>
      <w:r w:rsidR="00545195" w:rsidRPr="00542488">
        <w:rPr>
          <w:lang w:val="en-GB"/>
        </w:rPr>
        <w:t>The grade will be based on the answer to the quer</w:t>
      </w:r>
      <w:r w:rsidRPr="00542488">
        <w:rPr>
          <w:lang w:val="en-GB"/>
        </w:rPr>
        <w:t>y</w:t>
      </w:r>
      <w:r w:rsidR="0005228A" w:rsidRPr="00542488">
        <w:rPr>
          <w:lang w:val="en-GB"/>
        </w:rPr>
        <w:t xml:space="preserve"> related to a legal case</w:t>
      </w:r>
      <w:r w:rsidR="00545195" w:rsidRPr="00542488">
        <w:rPr>
          <w:lang w:val="en-GB"/>
        </w:rPr>
        <w:t xml:space="preserve">. </w:t>
      </w:r>
      <w:r w:rsidR="00AA15B0" w:rsidRPr="00542488">
        <w:rPr>
          <w:lang w:val="en-GB"/>
        </w:rPr>
        <w:t>(i.e. the student will receive a set of facts that have legal implications, and will be required to provide someone  - a client, a judge, a legislator, etc. - with good advice on what to do in light of those facts</w:t>
      </w:r>
      <w:r w:rsidRPr="00542488">
        <w:rPr>
          <w:lang w:val="en-GB"/>
        </w:rPr>
        <w:t>)</w:t>
      </w:r>
      <w:r w:rsidR="00AA15B0" w:rsidRPr="00542488">
        <w:rPr>
          <w:lang w:val="en-GB"/>
        </w:rPr>
        <w:t xml:space="preserve">. The student should identify the legal questions those facts raise and do the best </w:t>
      </w:r>
      <w:r w:rsidR="00AA15B0" w:rsidRPr="00542488">
        <w:rPr>
          <w:lang w:val="en-GB"/>
        </w:rPr>
        <w:lastRenderedPageBreak/>
        <w:t>to answer those questions based on the law they learned in the course</w:t>
      </w:r>
      <w:r w:rsidR="00AB6856" w:rsidRPr="00542488">
        <w:rPr>
          <w:lang w:val="en-GB"/>
        </w:rPr>
        <w:t xml:space="preserve"> (pursuant to the IRAC </w:t>
      </w:r>
      <w:r w:rsidR="0005228A" w:rsidRPr="00542488">
        <w:rPr>
          <w:lang w:val="en-GB"/>
        </w:rPr>
        <w:t>T</w:t>
      </w:r>
      <w:r w:rsidR="00AB6856" w:rsidRPr="00542488">
        <w:rPr>
          <w:lang w:val="en-GB"/>
        </w:rPr>
        <w:t xml:space="preserve">emplate </w:t>
      </w:r>
      <w:hyperlink r:id="rId13" w:history="1">
        <w:r w:rsidR="00AB6856" w:rsidRPr="00542488">
          <w:rPr>
            <w:rStyle w:val="Collegamentoipertestuale"/>
            <w:color w:val="auto"/>
            <w:lang w:val="en-GB"/>
          </w:rPr>
          <w:t>- link).</w:t>
        </w:r>
      </w:hyperlink>
      <w:r w:rsidR="00AA15B0" w:rsidRPr="00542488">
        <w:rPr>
          <w:lang w:val="en-GB"/>
        </w:rPr>
        <w:t xml:space="preserve"> The student’s capacity will be assessed on the basis of the attitudes to (i) synthetize the case, (ii) identify and apply relevant principles, (iii) conduct legal research, (iv) communicate effectively the legal concepts. </w:t>
      </w:r>
    </w:p>
    <w:p w14:paraId="5C30A2D7" w14:textId="165204B7" w:rsidR="004A2BFD" w:rsidRPr="00542488" w:rsidRDefault="00B0405E" w:rsidP="001744BF">
      <w:pPr>
        <w:pStyle w:val="Testo2"/>
        <w:rPr>
          <w:szCs w:val="18"/>
          <w:lang w:val="en-GB"/>
        </w:rPr>
      </w:pPr>
      <w:r w:rsidRPr="00542488">
        <w:rPr>
          <w:b/>
          <w:lang w:val="en-GB"/>
        </w:rPr>
        <w:t>The grade will be based on the answer to th</w:t>
      </w:r>
      <w:r w:rsidR="00E97493" w:rsidRPr="00542488">
        <w:rPr>
          <w:b/>
          <w:lang w:val="en-GB"/>
        </w:rPr>
        <w:t>e</w:t>
      </w:r>
      <w:r w:rsidRPr="00542488">
        <w:rPr>
          <w:b/>
          <w:lang w:val="en-GB"/>
        </w:rPr>
        <w:t xml:space="preserve"> quer</w:t>
      </w:r>
      <w:r w:rsidR="00E97493" w:rsidRPr="00542488">
        <w:rPr>
          <w:b/>
          <w:lang w:val="en-GB"/>
        </w:rPr>
        <w:t>y</w:t>
      </w:r>
      <w:r w:rsidRPr="00542488">
        <w:rPr>
          <w:b/>
          <w:lang w:val="en-GB"/>
        </w:rPr>
        <w:t xml:space="preserve"> related to Principles of Management </w:t>
      </w:r>
      <w:r w:rsidR="00E97493" w:rsidRPr="00542488">
        <w:rPr>
          <w:b/>
          <w:lang w:val="en-GB"/>
        </w:rPr>
        <w:t>M</w:t>
      </w:r>
      <w:r w:rsidRPr="00542488">
        <w:rPr>
          <w:b/>
          <w:lang w:val="en-GB"/>
        </w:rPr>
        <w:t>odule (1/2) and on the answer to the que</w:t>
      </w:r>
      <w:r w:rsidR="00E97493" w:rsidRPr="00542488">
        <w:rPr>
          <w:b/>
          <w:lang w:val="en-GB"/>
        </w:rPr>
        <w:t>ry</w:t>
      </w:r>
      <w:r w:rsidRPr="00542488">
        <w:rPr>
          <w:b/>
          <w:lang w:val="en-GB"/>
        </w:rPr>
        <w:t xml:space="preserve"> related to the Tech </w:t>
      </w:r>
      <w:r w:rsidR="00E97493" w:rsidRPr="00542488">
        <w:rPr>
          <w:b/>
          <w:lang w:val="en-GB"/>
        </w:rPr>
        <w:t>Law Module.</w:t>
      </w:r>
    </w:p>
    <w:sectPr w:rsidR="004A2BFD" w:rsidRPr="005424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FCF4" w14:textId="77777777" w:rsidR="002C2D25" w:rsidRDefault="002C2D25" w:rsidP="00C33406">
      <w:pPr>
        <w:spacing w:line="240" w:lineRule="auto"/>
      </w:pPr>
      <w:r>
        <w:separator/>
      </w:r>
    </w:p>
  </w:endnote>
  <w:endnote w:type="continuationSeparator" w:id="0">
    <w:p w14:paraId="6694D32D" w14:textId="77777777" w:rsidR="002C2D25" w:rsidRDefault="002C2D25" w:rsidP="00C3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1340" w14:textId="77777777" w:rsidR="002C2D25" w:rsidRDefault="002C2D25" w:rsidP="00C33406">
      <w:pPr>
        <w:spacing w:line="240" w:lineRule="auto"/>
      </w:pPr>
      <w:r>
        <w:separator/>
      </w:r>
    </w:p>
  </w:footnote>
  <w:footnote w:type="continuationSeparator" w:id="0">
    <w:p w14:paraId="415918AE" w14:textId="77777777" w:rsidR="002C2D25" w:rsidRDefault="002C2D25" w:rsidP="00C33406">
      <w:pPr>
        <w:spacing w:line="240" w:lineRule="auto"/>
      </w:pPr>
      <w:r>
        <w:continuationSeparator/>
      </w:r>
    </w:p>
  </w:footnote>
  <w:footnote w:id="1">
    <w:p w14:paraId="382A1FEF" w14:textId="22EF07A5" w:rsidR="009E484B" w:rsidRDefault="009E484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1F6282" w14:textId="1C1E7CD0" w:rsidR="009E484B" w:rsidRDefault="009E484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2E1C"/>
    <w:multiLevelType w:val="hybridMultilevel"/>
    <w:tmpl w:val="47585352"/>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4B770B8"/>
    <w:multiLevelType w:val="hybridMultilevel"/>
    <w:tmpl w:val="882C9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2B3DD3"/>
    <w:multiLevelType w:val="hybridMultilevel"/>
    <w:tmpl w:val="2E3C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04E77"/>
    <w:multiLevelType w:val="hybridMultilevel"/>
    <w:tmpl w:val="DD6401EE"/>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5E63201"/>
    <w:multiLevelType w:val="hybridMultilevel"/>
    <w:tmpl w:val="69B4A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6732D5"/>
    <w:multiLevelType w:val="hybridMultilevel"/>
    <w:tmpl w:val="A3C683FA"/>
    <w:lvl w:ilvl="0" w:tplc="35EE4BC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24341E"/>
    <w:multiLevelType w:val="hybridMultilevel"/>
    <w:tmpl w:val="2BB08C0E"/>
    <w:lvl w:ilvl="0" w:tplc="323A3914">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23F32"/>
    <w:multiLevelType w:val="hybridMultilevel"/>
    <w:tmpl w:val="289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4D09"/>
    <w:multiLevelType w:val="hybridMultilevel"/>
    <w:tmpl w:val="2360987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D2771E7"/>
    <w:multiLevelType w:val="hybridMultilevel"/>
    <w:tmpl w:val="E07A63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8BB0D13"/>
    <w:multiLevelType w:val="hybridMultilevel"/>
    <w:tmpl w:val="EC38CB76"/>
    <w:lvl w:ilvl="0" w:tplc="122CA142">
      <w:start w:val="13"/>
      <w:numFmt w:val="bullet"/>
      <w:lvlText w:val="-"/>
      <w:lvlJc w:val="left"/>
      <w:pPr>
        <w:ind w:left="-776" w:hanging="360"/>
      </w:pPr>
      <w:rPr>
        <w:rFonts w:ascii="Times New Roman" w:eastAsia="Times New Roman" w:hAnsi="Times New Roman" w:cs="Times New Roman" w:hint="default"/>
      </w:rPr>
    </w:lvl>
    <w:lvl w:ilvl="1" w:tplc="04100003" w:tentative="1">
      <w:start w:val="1"/>
      <w:numFmt w:val="bullet"/>
      <w:lvlText w:val="o"/>
      <w:lvlJc w:val="left"/>
      <w:pPr>
        <w:ind w:left="-56" w:hanging="360"/>
      </w:pPr>
      <w:rPr>
        <w:rFonts w:ascii="Courier New" w:hAnsi="Courier New" w:cs="Courier New" w:hint="default"/>
      </w:rPr>
    </w:lvl>
    <w:lvl w:ilvl="2" w:tplc="04100005" w:tentative="1">
      <w:start w:val="1"/>
      <w:numFmt w:val="bullet"/>
      <w:lvlText w:val=""/>
      <w:lvlJc w:val="left"/>
      <w:pPr>
        <w:ind w:left="664" w:hanging="360"/>
      </w:pPr>
      <w:rPr>
        <w:rFonts w:ascii="Wingdings" w:hAnsi="Wingdings" w:hint="default"/>
      </w:rPr>
    </w:lvl>
    <w:lvl w:ilvl="3" w:tplc="04100001" w:tentative="1">
      <w:start w:val="1"/>
      <w:numFmt w:val="bullet"/>
      <w:lvlText w:val=""/>
      <w:lvlJc w:val="left"/>
      <w:pPr>
        <w:ind w:left="1384" w:hanging="360"/>
      </w:pPr>
      <w:rPr>
        <w:rFonts w:ascii="Symbol" w:hAnsi="Symbol" w:hint="default"/>
      </w:rPr>
    </w:lvl>
    <w:lvl w:ilvl="4" w:tplc="04100003" w:tentative="1">
      <w:start w:val="1"/>
      <w:numFmt w:val="bullet"/>
      <w:lvlText w:val="o"/>
      <w:lvlJc w:val="left"/>
      <w:pPr>
        <w:ind w:left="2104" w:hanging="360"/>
      </w:pPr>
      <w:rPr>
        <w:rFonts w:ascii="Courier New" w:hAnsi="Courier New" w:cs="Courier New" w:hint="default"/>
      </w:rPr>
    </w:lvl>
    <w:lvl w:ilvl="5" w:tplc="04100005" w:tentative="1">
      <w:start w:val="1"/>
      <w:numFmt w:val="bullet"/>
      <w:lvlText w:val=""/>
      <w:lvlJc w:val="left"/>
      <w:pPr>
        <w:ind w:left="2824" w:hanging="360"/>
      </w:pPr>
      <w:rPr>
        <w:rFonts w:ascii="Wingdings" w:hAnsi="Wingdings" w:hint="default"/>
      </w:rPr>
    </w:lvl>
    <w:lvl w:ilvl="6" w:tplc="04100001" w:tentative="1">
      <w:start w:val="1"/>
      <w:numFmt w:val="bullet"/>
      <w:lvlText w:val=""/>
      <w:lvlJc w:val="left"/>
      <w:pPr>
        <w:ind w:left="3544" w:hanging="360"/>
      </w:pPr>
      <w:rPr>
        <w:rFonts w:ascii="Symbol" w:hAnsi="Symbol" w:hint="default"/>
      </w:rPr>
    </w:lvl>
    <w:lvl w:ilvl="7" w:tplc="04100003" w:tentative="1">
      <w:start w:val="1"/>
      <w:numFmt w:val="bullet"/>
      <w:lvlText w:val="o"/>
      <w:lvlJc w:val="left"/>
      <w:pPr>
        <w:ind w:left="4264" w:hanging="360"/>
      </w:pPr>
      <w:rPr>
        <w:rFonts w:ascii="Courier New" w:hAnsi="Courier New" w:cs="Courier New" w:hint="default"/>
      </w:rPr>
    </w:lvl>
    <w:lvl w:ilvl="8" w:tplc="04100005" w:tentative="1">
      <w:start w:val="1"/>
      <w:numFmt w:val="bullet"/>
      <w:lvlText w:val=""/>
      <w:lvlJc w:val="left"/>
      <w:pPr>
        <w:ind w:left="4984" w:hanging="360"/>
      </w:pPr>
      <w:rPr>
        <w:rFonts w:ascii="Wingdings" w:hAnsi="Wingdings" w:hint="default"/>
      </w:rPr>
    </w:lvl>
  </w:abstractNum>
  <w:abstractNum w:abstractNumId="12" w15:restartNumberingAfterBreak="0">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C51802"/>
    <w:multiLevelType w:val="hybridMultilevel"/>
    <w:tmpl w:val="83B4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4998871">
    <w:abstractNumId w:val="1"/>
  </w:num>
  <w:num w:numId="2" w16cid:durableId="1306008427">
    <w:abstractNumId w:val="7"/>
  </w:num>
  <w:num w:numId="3" w16cid:durableId="612173592">
    <w:abstractNumId w:val="12"/>
  </w:num>
  <w:num w:numId="4" w16cid:durableId="142896450">
    <w:abstractNumId w:val="5"/>
  </w:num>
  <w:num w:numId="5" w16cid:durableId="285507391">
    <w:abstractNumId w:val="4"/>
  </w:num>
  <w:num w:numId="6" w16cid:durableId="940331948">
    <w:abstractNumId w:val="6"/>
  </w:num>
  <w:num w:numId="7" w16cid:durableId="1741096772">
    <w:abstractNumId w:val="13"/>
  </w:num>
  <w:num w:numId="8" w16cid:durableId="1549148538">
    <w:abstractNumId w:val="8"/>
  </w:num>
  <w:num w:numId="9" w16cid:durableId="1709334524">
    <w:abstractNumId w:val="10"/>
  </w:num>
  <w:num w:numId="10" w16cid:durableId="1956979008">
    <w:abstractNumId w:val="0"/>
  </w:num>
  <w:num w:numId="11" w16cid:durableId="104932306">
    <w:abstractNumId w:val="3"/>
  </w:num>
  <w:num w:numId="12" w16cid:durableId="856425498">
    <w:abstractNumId w:val="9"/>
  </w:num>
  <w:num w:numId="13" w16cid:durableId="493910996">
    <w:abstractNumId w:val="2"/>
  </w:num>
  <w:num w:numId="14" w16cid:durableId="445002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zI1NTI0MTUFspV0lIJTi4sz8/NACgxrATWhVcMsAAAA"/>
  </w:docVars>
  <w:rsids>
    <w:rsidRoot w:val="005027BA"/>
    <w:rsid w:val="000130C9"/>
    <w:rsid w:val="00032759"/>
    <w:rsid w:val="00042742"/>
    <w:rsid w:val="0005228A"/>
    <w:rsid w:val="000611DA"/>
    <w:rsid w:val="00066445"/>
    <w:rsid w:val="00082B34"/>
    <w:rsid w:val="00084DAC"/>
    <w:rsid w:val="00085EFF"/>
    <w:rsid w:val="000A45FA"/>
    <w:rsid w:val="00105688"/>
    <w:rsid w:val="001111CD"/>
    <w:rsid w:val="001450C1"/>
    <w:rsid w:val="001744BF"/>
    <w:rsid w:val="00181384"/>
    <w:rsid w:val="00187B99"/>
    <w:rsid w:val="00195BE5"/>
    <w:rsid w:val="001A1C3D"/>
    <w:rsid w:val="001D100B"/>
    <w:rsid w:val="001D4860"/>
    <w:rsid w:val="002014DD"/>
    <w:rsid w:val="00275185"/>
    <w:rsid w:val="002B3113"/>
    <w:rsid w:val="002C2D25"/>
    <w:rsid w:val="002C32AD"/>
    <w:rsid w:val="002D321B"/>
    <w:rsid w:val="002E08D8"/>
    <w:rsid w:val="002E1668"/>
    <w:rsid w:val="0030327E"/>
    <w:rsid w:val="003053EB"/>
    <w:rsid w:val="00321829"/>
    <w:rsid w:val="00325A2A"/>
    <w:rsid w:val="00327930"/>
    <w:rsid w:val="00332AD4"/>
    <w:rsid w:val="003647A4"/>
    <w:rsid w:val="003A2B8B"/>
    <w:rsid w:val="003C4955"/>
    <w:rsid w:val="003E16FF"/>
    <w:rsid w:val="003E4498"/>
    <w:rsid w:val="00422611"/>
    <w:rsid w:val="00431128"/>
    <w:rsid w:val="00437924"/>
    <w:rsid w:val="00444ECF"/>
    <w:rsid w:val="00450D81"/>
    <w:rsid w:val="0047126A"/>
    <w:rsid w:val="0048696C"/>
    <w:rsid w:val="00494E73"/>
    <w:rsid w:val="004A04AC"/>
    <w:rsid w:val="004A2BFD"/>
    <w:rsid w:val="004B210D"/>
    <w:rsid w:val="004C160B"/>
    <w:rsid w:val="004C40EC"/>
    <w:rsid w:val="004D1217"/>
    <w:rsid w:val="004D6008"/>
    <w:rsid w:val="004E4F61"/>
    <w:rsid w:val="005027BA"/>
    <w:rsid w:val="00510DB4"/>
    <w:rsid w:val="00525BCD"/>
    <w:rsid w:val="00542488"/>
    <w:rsid w:val="00545195"/>
    <w:rsid w:val="005602DB"/>
    <w:rsid w:val="0057606B"/>
    <w:rsid w:val="005A200F"/>
    <w:rsid w:val="005D6350"/>
    <w:rsid w:val="00602376"/>
    <w:rsid w:val="0062259E"/>
    <w:rsid w:val="00645935"/>
    <w:rsid w:val="00680ADA"/>
    <w:rsid w:val="00686329"/>
    <w:rsid w:val="006938F7"/>
    <w:rsid w:val="006A3DE1"/>
    <w:rsid w:val="006A72F7"/>
    <w:rsid w:val="006B25FF"/>
    <w:rsid w:val="006F1772"/>
    <w:rsid w:val="007079FD"/>
    <w:rsid w:val="00734EE1"/>
    <w:rsid w:val="0074569A"/>
    <w:rsid w:val="00745FB1"/>
    <w:rsid w:val="00775795"/>
    <w:rsid w:val="007C7319"/>
    <w:rsid w:val="007E4F4C"/>
    <w:rsid w:val="0083235B"/>
    <w:rsid w:val="008502E3"/>
    <w:rsid w:val="0085540D"/>
    <w:rsid w:val="00870CE7"/>
    <w:rsid w:val="00871C40"/>
    <w:rsid w:val="008A1204"/>
    <w:rsid w:val="008B5F35"/>
    <w:rsid w:val="008B6178"/>
    <w:rsid w:val="008B63AA"/>
    <w:rsid w:val="008C0638"/>
    <w:rsid w:val="00900CCA"/>
    <w:rsid w:val="009012E1"/>
    <w:rsid w:val="00904CF0"/>
    <w:rsid w:val="00905991"/>
    <w:rsid w:val="00907105"/>
    <w:rsid w:val="00924B77"/>
    <w:rsid w:val="00925749"/>
    <w:rsid w:val="00930E1D"/>
    <w:rsid w:val="009376E6"/>
    <w:rsid w:val="00940DA2"/>
    <w:rsid w:val="00941214"/>
    <w:rsid w:val="00950149"/>
    <w:rsid w:val="00956727"/>
    <w:rsid w:val="00963DEC"/>
    <w:rsid w:val="00972D5B"/>
    <w:rsid w:val="00982AE2"/>
    <w:rsid w:val="009A58C7"/>
    <w:rsid w:val="009B2E7C"/>
    <w:rsid w:val="009E055C"/>
    <w:rsid w:val="009E484B"/>
    <w:rsid w:val="009F3B67"/>
    <w:rsid w:val="00A15580"/>
    <w:rsid w:val="00A24825"/>
    <w:rsid w:val="00A4037E"/>
    <w:rsid w:val="00A53928"/>
    <w:rsid w:val="00A74F6F"/>
    <w:rsid w:val="00A815AE"/>
    <w:rsid w:val="00A909D6"/>
    <w:rsid w:val="00AA15B0"/>
    <w:rsid w:val="00AB6856"/>
    <w:rsid w:val="00AD2821"/>
    <w:rsid w:val="00AD44D8"/>
    <w:rsid w:val="00AD67CD"/>
    <w:rsid w:val="00AD7557"/>
    <w:rsid w:val="00B018D9"/>
    <w:rsid w:val="00B0405E"/>
    <w:rsid w:val="00B05F8F"/>
    <w:rsid w:val="00B11E66"/>
    <w:rsid w:val="00B13A93"/>
    <w:rsid w:val="00B24AC8"/>
    <w:rsid w:val="00B41644"/>
    <w:rsid w:val="00B51253"/>
    <w:rsid w:val="00B525CC"/>
    <w:rsid w:val="00B9277F"/>
    <w:rsid w:val="00BA1F67"/>
    <w:rsid w:val="00BB46D5"/>
    <w:rsid w:val="00BB5189"/>
    <w:rsid w:val="00BD37BF"/>
    <w:rsid w:val="00BD525F"/>
    <w:rsid w:val="00BF1084"/>
    <w:rsid w:val="00BF4C6A"/>
    <w:rsid w:val="00C10CC8"/>
    <w:rsid w:val="00C23748"/>
    <w:rsid w:val="00C260EA"/>
    <w:rsid w:val="00C3028D"/>
    <w:rsid w:val="00C33406"/>
    <w:rsid w:val="00C36625"/>
    <w:rsid w:val="00CB2108"/>
    <w:rsid w:val="00CF1870"/>
    <w:rsid w:val="00CF7DF4"/>
    <w:rsid w:val="00D10E7A"/>
    <w:rsid w:val="00D169D8"/>
    <w:rsid w:val="00D404F2"/>
    <w:rsid w:val="00D52A90"/>
    <w:rsid w:val="00D560AA"/>
    <w:rsid w:val="00D57C0C"/>
    <w:rsid w:val="00D61C31"/>
    <w:rsid w:val="00D73907"/>
    <w:rsid w:val="00DA0E17"/>
    <w:rsid w:val="00DB05B5"/>
    <w:rsid w:val="00DB5106"/>
    <w:rsid w:val="00DB7123"/>
    <w:rsid w:val="00DD655D"/>
    <w:rsid w:val="00DE2679"/>
    <w:rsid w:val="00DE59AD"/>
    <w:rsid w:val="00DE6847"/>
    <w:rsid w:val="00DF4C51"/>
    <w:rsid w:val="00E057BC"/>
    <w:rsid w:val="00E05F09"/>
    <w:rsid w:val="00E079EE"/>
    <w:rsid w:val="00E32639"/>
    <w:rsid w:val="00E41778"/>
    <w:rsid w:val="00E607E6"/>
    <w:rsid w:val="00E81339"/>
    <w:rsid w:val="00E86F7F"/>
    <w:rsid w:val="00E97493"/>
    <w:rsid w:val="00EB4640"/>
    <w:rsid w:val="00EC1264"/>
    <w:rsid w:val="00EC46D2"/>
    <w:rsid w:val="00EE1DC6"/>
    <w:rsid w:val="00EF140F"/>
    <w:rsid w:val="00F34E7B"/>
    <w:rsid w:val="00F3508A"/>
    <w:rsid w:val="00F37AD4"/>
    <w:rsid w:val="00F44BCF"/>
    <w:rsid w:val="00F54AB4"/>
    <w:rsid w:val="00F55B7E"/>
    <w:rsid w:val="00F75037"/>
    <w:rsid w:val="00F86D86"/>
    <w:rsid w:val="00F90D9E"/>
    <w:rsid w:val="00FD6D8A"/>
    <w:rsid w:val="00FD73BE"/>
    <w:rsid w:val="00FE3A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B2035"/>
  <w15:docId w15:val="{9947C75C-1953-5A44-9C47-A783A3CC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5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66445"/>
    <w:pPr>
      <w:tabs>
        <w:tab w:val="clear" w:pos="284"/>
      </w:tabs>
      <w:spacing w:line="240" w:lineRule="auto"/>
      <w:ind w:left="720"/>
      <w:contextualSpacing/>
      <w:jc w:val="left"/>
    </w:pPr>
    <w:rPr>
      <w:rFonts w:asciiTheme="minorHAnsi" w:eastAsiaTheme="minorEastAsia" w:hAnsiTheme="minorHAnsi" w:cstheme="minorBidi"/>
      <w:sz w:val="24"/>
      <w:lang w:eastAsia="en-US"/>
    </w:rPr>
  </w:style>
  <w:style w:type="paragraph" w:styleId="Testofumetto">
    <w:name w:val="Balloon Text"/>
    <w:basedOn w:val="Normale"/>
    <w:link w:val="TestofumettoCarattere"/>
    <w:semiHidden/>
    <w:unhideWhenUsed/>
    <w:rsid w:val="000664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6445"/>
    <w:rPr>
      <w:rFonts w:ascii="Segoe UI" w:hAnsi="Segoe UI" w:cs="Segoe UI"/>
      <w:sz w:val="18"/>
      <w:szCs w:val="18"/>
    </w:rPr>
  </w:style>
  <w:style w:type="paragraph" w:styleId="Testonotaapidipagina">
    <w:name w:val="footnote text"/>
    <w:basedOn w:val="Normale"/>
    <w:link w:val="TestonotaapidipaginaCarattere"/>
    <w:semiHidden/>
    <w:unhideWhenUsed/>
    <w:rsid w:val="00C334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3406"/>
  </w:style>
  <w:style w:type="character" w:styleId="Rimandonotaapidipagina">
    <w:name w:val="footnote reference"/>
    <w:basedOn w:val="Carpredefinitoparagrafo"/>
    <w:semiHidden/>
    <w:unhideWhenUsed/>
    <w:rsid w:val="00C33406"/>
    <w:rPr>
      <w:vertAlign w:val="superscript"/>
    </w:rPr>
  </w:style>
  <w:style w:type="character" w:styleId="Collegamentoipertestuale">
    <w:name w:val="Hyperlink"/>
    <w:basedOn w:val="Carpredefinitoparagrafo"/>
    <w:unhideWhenUsed/>
    <w:rsid w:val="006B25FF"/>
    <w:rPr>
      <w:color w:val="0000FF" w:themeColor="hyperlink"/>
      <w:u w:val="single"/>
    </w:rPr>
  </w:style>
  <w:style w:type="paragraph" w:styleId="Intestazione">
    <w:name w:val="header"/>
    <w:basedOn w:val="Normale"/>
    <w:link w:val="IntestazioneCarattere"/>
    <w:unhideWhenUsed/>
    <w:rsid w:val="003279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27930"/>
    <w:rPr>
      <w:szCs w:val="24"/>
    </w:rPr>
  </w:style>
  <w:style w:type="paragraph" w:styleId="Pidipagina">
    <w:name w:val="footer"/>
    <w:basedOn w:val="Normale"/>
    <w:link w:val="PidipaginaCarattere"/>
    <w:unhideWhenUsed/>
    <w:rsid w:val="003279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27930"/>
    <w:rPr>
      <w:szCs w:val="24"/>
    </w:rPr>
  </w:style>
  <w:style w:type="paragraph" w:styleId="Revisione">
    <w:name w:val="Revision"/>
    <w:hidden/>
    <w:uiPriority w:val="99"/>
    <w:semiHidden/>
    <w:rsid w:val="002E1668"/>
    <w:rPr>
      <w:szCs w:val="24"/>
    </w:rPr>
  </w:style>
  <w:style w:type="character" w:customStyle="1" w:styleId="Menzionenonrisolta1">
    <w:name w:val="Menzione non risolta1"/>
    <w:basedOn w:val="Carpredefinitoparagrafo"/>
    <w:uiPriority w:val="99"/>
    <w:semiHidden/>
    <w:unhideWhenUsed/>
    <w:rsid w:val="00AB6856"/>
    <w:rPr>
      <w:color w:val="605E5C"/>
      <w:shd w:val="clear" w:color="auto" w:fill="E1DFDD"/>
    </w:rPr>
  </w:style>
  <w:style w:type="character" w:styleId="Collegamentovisitato">
    <w:name w:val="FollowedHyperlink"/>
    <w:basedOn w:val="Carpredefinitoparagrafo"/>
    <w:semiHidden/>
    <w:unhideWhenUsed/>
    <w:rsid w:val="00AB6856"/>
    <w:rPr>
      <w:color w:val="800080" w:themeColor="followedHyperlink"/>
      <w:u w:val="single"/>
    </w:rPr>
  </w:style>
  <w:style w:type="character" w:styleId="Menzionenonrisolta">
    <w:name w:val="Unresolved Mention"/>
    <w:basedOn w:val="Carpredefinitoparagrafo"/>
    <w:uiPriority w:val="99"/>
    <w:semiHidden/>
    <w:unhideWhenUsed/>
    <w:rsid w:val="00C2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STUD/2020/621926/IPOL_STU(2020)621926_EN.pdf" TargetMode="External"/><Relationship Id="rId13" Type="http://schemas.openxmlformats.org/officeDocument/2006/relationships/hyperlink" Target="https://web.law.columbia.edu/sites/default/files/microsites/writing-center/files/organizing_a_legal_discus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4152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44117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rn.com/abstract=4308072" TargetMode="External"/><Relationship Id="rId4" Type="http://schemas.openxmlformats.org/officeDocument/2006/relationships/settings" Target="settings.xml"/><Relationship Id="rId9" Type="http://schemas.openxmlformats.org/officeDocument/2006/relationships/hyperlink" Target="https://ssrn.com/abstract=4195066"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B607-6E58-4979-B3D6-DAEA784C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8627</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2018-05-29T15:27:00Z</cp:lastPrinted>
  <dcterms:created xsi:type="dcterms:W3CDTF">2023-09-15T07:59:00Z</dcterms:created>
  <dcterms:modified xsi:type="dcterms:W3CDTF">2023-09-15T08:01:00Z</dcterms:modified>
</cp:coreProperties>
</file>