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8DF6" w14:textId="21DC983C" w:rsidR="009741E3" w:rsidRPr="007A25DF" w:rsidRDefault="00B35132">
      <w:pPr>
        <w:spacing w:line="240" w:lineRule="auto"/>
        <w:jc w:val="left"/>
        <w:rPr>
          <w:rFonts w:eastAsia="Calibri" w:cs="Times New Roman"/>
          <w:b/>
          <w:bCs/>
          <w:lang w:val="en-GB"/>
        </w:rPr>
      </w:pPr>
      <w:r w:rsidRPr="007A25DF">
        <w:rPr>
          <w:rFonts w:cs="Times New Roman"/>
          <w:b/>
          <w:bCs/>
          <w:lang w:val="en-GB"/>
        </w:rPr>
        <w:t>Fina</w:t>
      </w:r>
      <w:r w:rsidR="00566D8E" w:rsidRPr="007A25DF">
        <w:rPr>
          <w:rFonts w:cs="Times New Roman"/>
          <w:b/>
          <w:bCs/>
          <w:lang w:val="en-GB"/>
        </w:rPr>
        <w:t>ncing Cooperation:</w:t>
      </w:r>
      <w:r w:rsidR="007A25DF">
        <w:rPr>
          <w:rFonts w:cs="Times New Roman"/>
          <w:b/>
          <w:bCs/>
          <w:lang w:val="en-GB"/>
        </w:rPr>
        <w:t xml:space="preserve"> </w:t>
      </w:r>
      <w:r w:rsidR="00566D8E" w:rsidRPr="007A25DF">
        <w:rPr>
          <w:rFonts w:cs="Times New Roman"/>
          <w:b/>
          <w:bCs/>
          <w:lang w:val="en-GB"/>
        </w:rPr>
        <w:t>M</w:t>
      </w:r>
      <w:r w:rsidRPr="007A25DF">
        <w:rPr>
          <w:rFonts w:cs="Times New Roman"/>
          <w:b/>
          <w:bCs/>
          <w:lang w:val="en-GB"/>
        </w:rPr>
        <w:t xml:space="preserve">arketing </w:t>
      </w:r>
      <w:r w:rsidR="00566D8E" w:rsidRPr="007A25DF">
        <w:rPr>
          <w:rFonts w:cs="Times New Roman"/>
          <w:b/>
          <w:bCs/>
          <w:lang w:val="en-GB"/>
        </w:rPr>
        <w:t>and Strategic Philanthropy</w:t>
      </w:r>
    </w:p>
    <w:p w14:paraId="236F0BC2" w14:textId="3D9A2C3E" w:rsidR="009741E3" w:rsidRPr="007A25DF" w:rsidRDefault="00B35132">
      <w:pPr>
        <w:pStyle w:val="Titolo2"/>
        <w:rPr>
          <w:lang w:val="en-GB"/>
        </w:rPr>
      </w:pPr>
      <w:r w:rsidRPr="007A25DF">
        <w:rPr>
          <w:lang w:val="en-GB"/>
        </w:rPr>
        <w:t>Prof. Chiara Maria Lévêque</w:t>
      </w:r>
      <w:r w:rsidR="00645046" w:rsidRPr="007A25DF">
        <w:rPr>
          <w:lang w:val="en-GB"/>
        </w:rPr>
        <w:t xml:space="preserve">; </w:t>
      </w:r>
      <w:r w:rsidRPr="007A25DF">
        <w:rPr>
          <w:lang w:val="en-GB"/>
        </w:rPr>
        <w:t>Prof. Urszula Swierczynska</w:t>
      </w:r>
    </w:p>
    <w:p w14:paraId="1AB60D97" w14:textId="77777777" w:rsidR="00566D8E" w:rsidRPr="007A25DF" w:rsidRDefault="00566D8E" w:rsidP="00566D8E">
      <w:pPr>
        <w:spacing w:before="240" w:after="120"/>
        <w:rPr>
          <w:b/>
          <w:bCs/>
          <w:sz w:val="18"/>
          <w:szCs w:val="18"/>
          <w:lang w:val="en-GB"/>
        </w:rPr>
      </w:pPr>
      <w:r w:rsidRPr="007A25DF">
        <w:rPr>
          <w:b/>
          <w:bCs/>
          <w:i/>
          <w:iCs/>
          <w:sz w:val="18"/>
          <w:szCs w:val="18"/>
          <w:lang w:val="en-GB"/>
        </w:rPr>
        <w:t>COURSE AIMS AND INTENDED LEARNING OUTCOMES</w:t>
      </w:r>
    </w:p>
    <w:p w14:paraId="32712DB5" w14:textId="46354EDF" w:rsidR="009741E3" w:rsidRPr="007A25DF" w:rsidRDefault="00566D8E">
      <w:pPr>
        <w:rPr>
          <w:lang w:val="en-GB"/>
        </w:rPr>
      </w:pPr>
      <w:r w:rsidRPr="007A25DF">
        <w:rPr>
          <w:lang w:val="en-GB"/>
        </w:rPr>
        <w:t>The course aims to provide students with an overview of innovative techniques and tools to finance cooperation projects.</w:t>
      </w:r>
    </w:p>
    <w:p w14:paraId="3AF3361F" w14:textId="223F9C42" w:rsidR="009741E3" w:rsidRPr="007A25DF" w:rsidRDefault="00566D8E">
      <w:pPr>
        <w:rPr>
          <w:color w:val="FF0000"/>
          <w:u w:color="FF0000"/>
          <w:lang w:val="en-GB"/>
        </w:rPr>
      </w:pPr>
      <w:r w:rsidRPr="007A25DF">
        <w:rPr>
          <w:lang w:val="en-GB"/>
        </w:rPr>
        <w:t xml:space="preserve">The first part of the course will explore the world of private philanthropy with a specific focus on the world of </w:t>
      </w:r>
      <w:r w:rsidR="00BC6E08">
        <w:rPr>
          <w:lang w:val="en-GB"/>
        </w:rPr>
        <w:t>donor f</w:t>
      </w:r>
      <w:r w:rsidRPr="007A25DF">
        <w:rPr>
          <w:lang w:val="en-GB"/>
        </w:rPr>
        <w:t>oundations as key partners for strategic support to long-term projects.</w:t>
      </w:r>
    </w:p>
    <w:p w14:paraId="1F701409" w14:textId="29F38676" w:rsidR="009741E3" w:rsidRPr="007A25DF" w:rsidRDefault="00BC6E08">
      <w:pPr>
        <w:rPr>
          <w:lang w:val="en-GB"/>
        </w:rPr>
      </w:pPr>
      <w:r w:rsidRPr="00BC6E08">
        <w:rPr>
          <w:lang w:val="en-GB"/>
        </w:rPr>
        <w:t>The second part will address the world of digital marketing and its uses to generate effective</w:t>
      </w:r>
      <w:r w:rsidR="00DF17E8">
        <w:rPr>
          <w:lang w:val="en-GB"/>
        </w:rPr>
        <w:t xml:space="preserve"> </w:t>
      </w:r>
      <w:r w:rsidRPr="00BC6E08">
        <w:rPr>
          <w:lang w:val="en-GB"/>
        </w:rPr>
        <w:t>fundraising campaigns and effectively engage private donors and businesses</w:t>
      </w:r>
      <w:r>
        <w:rPr>
          <w:lang w:val="en-GB"/>
        </w:rPr>
        <w:t>.</w:t>
      </w:r>
    </w:p>
    <w:p w14:paraId="5E2EC1C1" w14:textId="77777777" w:rsidR="00566D8E" w:rsidRPr="007A25DF" w:rsidRDefault="00566D8E" w:rsidP="00566D8E">
      <w:pPr>
        <w:spacing w:before="240" w:after="120"/>
        <w:rPr>
          <w:b/>
          <w:bCs/>
          <w:sz w:val="18"/>
          <w:szCs w:val="18"/>
          <w:lang w:val="en-GB"/>
        </w:rPr>
      </w:pPr>
      <w:r w:rsidRPr="007A25DF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42CBE294" w14:textId="77777777" w:rsidR="00566D8E" w:rsidRPr="007A25DF" w:rsidRDefault="00566D8E" w:rsidP="00566D8E">
      <w:pPr>
        <w:spacing w:line="240" w:lineRule="auto"/>
        <w:rPr>
          <w:i/>
          <w:iCs/>
          <w:lang w:val="en-GB"/>
        </w:rPr>
      </w:pPr>
      <w:r w:rsidRPr="007A25DF">
        <w:rPr>
          <w:i/>
          <w:iCs/>
          <w:lang w:val="en-GB"/>
        </w:rPr>
        <w:t>MODULE 1: Introduction to Philanthropy</w:t>
      </w:r>
    </w:p>
    <w:p w14:paraId="22C02B59" w14:textId="77777777" w:rsidR="00566D8E" w:rsidRPr="007A25DF" w:rsidRDefault="00566D8E" w:rsidP="00566D8E">
      <w:pPr>
        <w:spacing w:line="240" w:lineRule="auto"/>
        <w:rPr>
          <w:lang w:val="en-GB"/>
        </w:rPr>
      </w:pPr>
      <w:r w:rsidRPr="007A25DF">
        <w:rPr>
          <w:lang w:val="en-GB"/>
        </w:rPr>
        <w:t xml:space="preserve">Recent macro trends and the ecosystem of modern philanthropy </w:t>
      </w:r>
    </w:p>
    <w:p w14:paraId="76DC5E65" w14:textId="4D8A63EE" w:rsidR="009741E3" w:rsidRPr="007A25DF" w:rsidRDefault="00566D8E">
      <w:pPr>
        <w:spacing w:line="240" w:lineRule="auto"/>
        <w:rPr>
          <w:lang w:val="en-GB"/>
        </w:rPr>
      </w:pPr>
      <w:r w:rsidRPr="007A25DF">
        <w:rPr>
          <w:lang w:val="en-GB"/>
        </w:rPr>
        <w:t xml:space="preserve">Developments of philanthropic tradition at international level </w:t>
      </w:r>
    </w:p>
    <w:p w14:paraId="0A63DF08" w14:textId="77777777" w:rsidR="00566D8E" w:rsidRPr="007A25DF" w:rsidRDefault="00566D8E" w:rsidP="00566D8E">
      <w:pPr>
        <w:spacing w:before="120" w:line="240" w:lineRule="auto"/>
        <w:rPr>
          <w:lang w:val="en-GB"/>
        </w:rPr>
      </w:pPr>
      <w:r w:rsidRPr="007A25DF">
        <w:rPr>
          <w:i/>
          <w:iCs/>
          <w:lang w:val="en-GB"/>
        </w:rPr>
        <w:t>MODULE 2: Generating positive social impact: a spectrum of possibilities</w:t>
      </w:r>
    </w:p>
    <w:p w14:paraId="346FEFFA" w14:textId="77777777" w:rsidR="00566D8E" w:rsidRPr="007A25DF" w:rsidRDefault="00566D8E" w:rsidP="00566D8E">
      <w:pPr>
        <w:spacing w:line="240" w:lineRule="auto"/>
        <w:rPr>
          <w:lang w:val="en-GB"/>
        </w:rPr>
      </w:pPr>
      <w:r w:rsidRPr="007A25DF">
        <w:rPr>
          <w:lang w:val="en-GB"/>
        </w:rPr>
        <w:t xml:space="preserve">New approaches to strategic philanthropy: from traditional giving to impact investing </w:t>
      </w:r>
    </w:p>
    <w:p w14:paraId="5FE02D41" w14:textId="77777777" w:rsidR="00566D8E" w:rsidRPr="007A25DF" w:rsidRDefault="00566D8E" w:rsidP="00566D8E">
      <w:pPr>
        <w:spacing w:before="120" w:line="240" w:lineRule="auto"/>
        <w:rPr>
          <w:i/>
          <w:iCs/>
          <w:lang w:val="en-GB"/>
        </w:rPr>
      </w:pPr>
      <w:r w:rsidRPr="007A25DF">
        <w:rPr>
          <w:i/>
          <w:iCs/>
          <w:lang w:val="en-GB"/>
        </w:rPr>
        <w:t xml:space="preserve">MODULE 3: Panorama of the providers </w:t>
      </w:r>
    </w:p>
    <w:p w14:paraId="3634F2C7" w14:textId="77777777" w:rsidR="00566D8E" w:rsidRPr="007A25DF" w:rsidRDefault="00566D8E" w:rsidP="00566D8E">
      <w:pPr>
        <w:spacing w:line="240" w:lineRule="auto"/>
        <w:rPr>
          <w:lang w:val="en-GB"/>
        </w:rPr>
      </w:pPr>
      <w:r w:rsidRPr="007A25DF">
        <w:rPr>
          <w:lang w:val="en-GB"/>
        </w:rPr>
        <w:t xml:space="preserve">Which are the Italian and the foreign providers </w:t>
      </w:r>
    </w:p>
    <w:p w14:paraId="338994AD" w14:textId="17A5C52F" w:rsidR="009741E3" w:rsidRPr="007A25DF" w:rsidRDefault="00566D8E">
      <w:pPr>
        <w:spacing w:line="240" w:lineRule="auto"/>
        <w:rPr>
          <w:lang w:val="en-GB"/>
        </w:rPr>
      </w:pPr>
      <w:r w:rsidRPr="007A25DF">
        <w:rPr>
          <w:lang w:val="en-GB"/>
        </w:rPr>
        <w:t xml:space="preserve">Mapping and characteristics </w:t>
      </w:r>
    </w:p>
    <w:p w14:paraId="1430BA5E" w14:textId="77777777" w:rsidR="00566D8E" w:rsidRPr="007A25DF" w:rsidRDefault="00566D8E" w:rsidP="00566D8E">
      <w:pPr>
        <w:spacing w:before="120" w:line="240" w:lineRule="auto"/>
        <w:rPr>
          <w:i/>
          <w:iCs/>
          <w:lang w:val="en-GB"/>
        </w:rPr>
      </w:pPr>
      <w:r w:rsidRPr="007A25DF">
        <w:rPr>
          <w:i/>
          <w:iCs/>
          <w:lang w:val="en-GB"/>
        </w:rPr>
        <w:t xml:space="preserve">MODULE 4: Philanthropic Donation </w:t>
      </w:r>
    </w:p>
    <w:p w14:paraId="13221F19" w14:textId="77777777" w:rsidR="00353DB3" w:rsidRDefault="00353DB3">
      <w:pPr>
        <w:spacing w:line="240" w:lineRule="auto"/>
        <w:rPr>
          <w:lang w:val="en-GB"/>
        </w:rPr>
      </w:pPr>
      <w:r w:rsidRPr="000333DA">
        <w:rPr>
          <w:lang w:val="en-GB"/>
        </w:rPr>
        <w:t>Modern grant-making process, principles and strategies</w:t>
      </w:r>
      <w:r w:rsidRPr="007A25DF">
        <w:rPr>
          <w:lang w:val="en-GB"/>
        </w:rPr>
        <w:t xml:space="preserve"> </w:t>
      </w:r>
    </w:p>
    <w:p w14:paraId="3600520C" w14:textId="512882B8" w:rsidR="000333DA" w:rsidRPr="000333DA" w:rsidRDefault="00353DB3" w:rsidP="000333DA">
      <w:pPr>
        <w:spacing w:line="240" w:lineRule="auto"/>
        <w:rPr>
          <w:lang w:val="en-GB"/>
        </w:rPr>
      </w:pPr>
      <w:r>
        <w:rPr>
          <w:lang w:val="en-GB"/>
        </w:rPr>
        <w:t>T</w:t>
      </w:r>
      <w:r w:rsidR="00566D8E" w:rsidRPr="007A25DF">
        <w:rPr>
          <w:lang w:val="en-GB"/>
        </w:rPr>
        <w:t xml:space="preserve">rust based philanthropy, project support and organisational support, capacity building approach, </w:t>
      </w:r>
      <w:r w:rsidR="00B35132" w:rsidRPr="007A25DF">
        <w:rPr>
          <w:lang w:val="en-GB"/>
        </w:rPr>
        <w:t>DEI (diversit</w:t>
      </w:r>
      <w:r w:rsidR="00566D8E" w:rsidRPr="007A25DF">
        <w:rPr>
          <w:lang w:val="en-GB"/>
        </w:rPr>
        <w:t>y</w:t>
      </w:r>
      <w:r w:rsidR="00B35132" w:rsidRPr="007A25DF">
        <w:rPr>
          <w:lang w:val="en-GB"/>
        </w:rPr>
        <w:t>, equit</w:t>
      </w:r>
      <w:r>
        <w:rPr>
          <w:lang w:val="en-GB"/>
        </w:rPr>
        <w:t>y</w:t>
      </w:r>
      <w:r w:rsidR="00B35132" w:rsidRPr="007A25DF">
        <w:rPr>
          <w:lang w:val="en-GB"/>
        </w:rPr>
        <w:t>, inclusion)</w:t>
      </w:r>
      <w:r>
        <w:rPr>
          <w:lang w:val="en-GB"/>
        </w:rPr>
        <w:t xml:space="preserve"> framework in</w:t>
      </w:r>
      <w:r w:rsidR="00B35132" w:rsidRPr="007A25DF">
        <w:rPr>
          <w:lang w:val="en-GB"/>
        </w:rPr>
        <w:t xml:space="preserve"> grant-making</w:t>
      </w:r>
    </w:p>
    <w:p w14:paraId="6539B647" w14:textId="77777777" w:rsidR="004953C6" w:rsidRPr="007A25DF" w:rsidRDefault="004953C6" w:rsidP="00D679B8">
      <w:pPr>
        <w:spacing w:before="120" w:line="240" w:lineRule="auto"/>
        <w:rPr>
          <w:i/>
          <w:iCs/>
          <w:lang w:val="en-GB"/>
        </w:rPr>
      </w:pPr>
      <w:r w:rsidRPr="007A25DF">
        <w:rPr>
          <w:i/>
          <w:iCs/>
          <w:lang w:val="en-GB"/>
        </w:rPr>
        <w:t xml:space="preserve">MODULE 5: Effective Philanthropy  </w:t>
      </w:r>
    </w:p>
    <w:p w14:paraId="5925CB64" w14:textId="1A2B9DD8" w:rsidR="009741E3" w:rsidRPr="00D679B8" w:rsidRDefault="004953C6">
      <w:pPr>
        <w:spacing w:line="240" w:lineRule="auto"/>
        <w:rPr>
          <w:lang w:val="en-GB"/>
        </w:rPr>
      </w:pPr>
      <w:r w:rsidRPr="007A25DF">
        <w:rPr>
          <w:lang w:val="en-GB"/>
        </w:rPr>
        <w:t xml:space="preserve">Evidence-based philanthropic models and Effective Altruism </w:t>
      </w:r>
    </w:p>
    <w:p w14:paraId="19F89099" w14:textId="191685EC" w:rsidR="009741E3" w:rsidRPr="007A25DF" w:rsidRDefault="00B35132" w:rsidP="00D679B8">
      <w:pPr>
        <w:spacing w:before="120" w:line="240" w:lineRule="auto"/>
        <w:rPr>
          <w:i/>
          <w:iCs/>
          <w:lang w:val="en-GB"/>
        </w:rPr>
      </w:pPr>
      <w:r w:rsidRPr="007A25DF">
        <w:rPr>
          <w:i/>
          <w:iCs/>
          <w:lang w:val="en-GB"/>
        </w:rPr>
        <w:t>MODUL</w:t>
      </w:r>
      <w:r w:rsidR="004953C6" w:rsidRPr="007A25DF">
        <w:rPr>
          <w:i/>
          <w:iCs/>
          <w:lang w:val="en-GB"/>
        </w:rPr>
        <w:t>E</w:t>
      </w:r>
      <w:r w:rsidRPr="007A25DF">
        <w:rPr>
          <w:i/>
          <w:iCs/>
          <w:lang w:val="en-GB"/>
        </w:rPr>
        <w:t xml:space="preserve"> 6: Fundraising </w:t>
      </w:r>
      <w:r w:rsidR="004953C6" w:rsidRPr="007A25DF">
        <w:rPr>
          <w:i/>
          <w:iCs/>
          <w:lang w:val="en-GB"/>
        </w:rPr>
        <w:t>for</w:t>
      </w:r>
      <w:r w:rsidRPr="007A25DF">
        <w:rPr>
          <w:i/>
          <w:iCs/>
          <w:lang w:val="en-GB"/>
        </w:rPr>
        <w:t xml:space="preserve"> Coopera</w:t>
      </w:r>
      <w:r w:rsidR="004953C6" w:rsidRPr="007A25DF">
        <w:rPr>
          <w:i/>
          <w:iCs/>
          <w:lang w:val="en-GB"/>
        </w:rPr>
        <w:t>tion</w:t>
      </w:r>
    </w:p>
    <w:p w14:paraId="1B702F4F" w14:textId="16532882" w:rsidR="009741E3" w:rsidRPr="007A25DF" w:rsidRDefault="000333DA">
      <w:pPr>
        <w:spacing w:line="240" w:lineRule="auto"/>
        <w:rPr>
          <w:lang w:val="en-GB"/>
        </w:rPr>
      </w:pPr>
      <w:r>
        <w:rPr>
          <w:lang w:val="en-GB"/>
        </w:rPr>
        <w:t>Advantages and disadvantages of the most used fundraising tools</w:t>
      </w:r>
    </w:p>
    <w:p w14:paraId="39D3A112" w14:textId="41D7529E" w:rsidR="009741E3" w:rsidRPr="007A25DF" w:rsidRDefault="00B35132" w:rsidP="00D679B8">
      <w:pPr>
        <w:spacing w:before="120" w:line="240" w:lineRule="auto"/>
        <w:rPr>
          <w:i/>
          <w:iCs/>
          <w:lang w:val="en-GB"/>
        </w:rPr>
      </w:pPr>
      <w:r w:rsidRPr="007A25DF">
        <w:rPr>
          <w:i/>
          <w:iCs/>
          <w:lang w:val="en-GB"/>
        </w:rPr>
        <w:t>MODUL</w:t>
      </w:r>
      <w:r w:rsidR="002C0F14" w:rsidRPr="007A25DF">
        <w:rPr>
          <w:i/>
          <w:iCs/>
          <w:lang w:val="en-GB"/>
        </w:rPr>
        <w:t>E</w:t>
      </w:r>
      <w:r w:rsidRPr="007A25DF">
        <w:rPr>
          <w:i/>
          <w:iCs/>
          <w:lang w:val="en-GB"/>
        </w:rPr>
        <w:t xml:space="preserve"> 7: </w:t>
      </w:r>
      <w:r w:rsidR="000333DA">
        <w:rPr>
          <w:i/>
          <w:iCs/>
          <w:lang w:val="en-GB"/>
        </w:rPr>
        <w:t>M</w:t>
      </w:r>
      <w:r w:rsidRPr="007A25DF">
        <w:rPr>
          <w:i/>
          <w:iCs/>
          <w:lang w:val="en-GB"/>
        </w:rPr>
        <w:t>arketing a</w:t>
      </w:r>
      <w:r w:rsidR="000333DA">
        <w:rPr>
          <w:i/>
          <w:iCs/>
          <w:lang w:val="en-GB"/>
        </w:rPr>
        <w:t>t the service of NGOs</w:t>
      </w:r>
    </w:p>
    <w:p w14:paraId="03E5B086" w14:textId="0F45D02E" w:rsidR="009741E3" w:rsidRPr="00D679B8" w:rsidRDefault="000333DA">
      <w:pPr>
        <w:spacing w:line="240" w:lineRule="auto"/>
        <w:rPr>
          <w:lang w:val="en-GB"/>
        </w:rPr>
      </w:pPr>
      <w:r>
        <w:rPr>
          <w:lang w:val="en-GB"/>
        </w:rPr>
        <w:t>From</w:t>
      </w:r>
      <w:r w:rsidR="00B35132" w:rsidRPr="007A25DF">
        <w:rPr>
          <w:lang w:val="en-GB"/>
        </w:rPr>
        <w:t xml:space="preserve"> lead generation </w:t>
      </w:r>
      <w:r>
        <w:rPr>
          <w:lang w:val="en-GB"/>
        </w:rPr>
        <w:t>to constant dialogue with regular donors</w:t>
      </w:r>
      <w:r w:rsidR="00B35132" w:rsidRPr="007A25DF">
        <w:rPr>
          <w:lang w:val="en-GB"/>
        </w:rPr>
        <w:t xml:space="preserve"> </w:t>
      </w:r>
    </w:p>
    <w:p w14:paraId="1DB1C006" w14:textId="7597F18E" w:rsidR="009741E3" w:rsidRPr="007A25DF" w:rsidRDefault="00B35132" w:rsidP="00D679B8">
      <w:pPr>
        <w:spacing w:before="120" w:line="240" w:lineRule="auto"/>
        <w:rPr>
          <w:i/>
          <w:iCs/>
          <w:lang w:val="en-GB"/>
        </w:rPr>
      </w:pPr>
      <w:r w:rsidRPr="007A25DF">
        <w:rPr>
          <w:i/>
          <w:iCs/>
          <w:lang w:val="en-GB"/>
        </w:rPr>
        <w:t>MODUL</w:t>
      </w:r>
      <w:r w:rsidR="002C0F14" w:rsidRPr="007A25DF">
        <w:rPr>
          <w:i/>
          <w:iCs/>
          <w:lang w:val="en-GB"/>
        </w:rPr>
        <w:t>E</w:t>
      </w:r>
      <w:r w:rsidRPr="007A25DF">
        <w:rPr>
          <w:i/>
          <w:iCs/>
          <w:lang w:val="en-GB"/>
        </w:rPr>
        <w:t xml:space="preserve"> 8: </w:t>
      </w:r>
      <w:r w:rsidR="000333DA">
        <w:rPr>
          <w:i/>
          <w:iCs/>
          <w:lang w:val="en-GB"/>
        </w:rPr>
        <w:t>The</w:t>
      </w:r>
      <w:r w:rsidRPr="007A25DF">
        <w:rPr>
          <w:i/>
          <w:iCs/>
          <w:lang w:val="en-GB"/>
        </w:rPr>
        <w:t xml:space="preserve"> Digital Marketing </w:t>
      </w:r>
      <w:r w:rsidR="000333DA">
        <w:rPr>
          <w:i/>
          <w:iCs/>
          <w:lang w:val="en-GB"/>
        </w:rPr>
        <w:t>and multi-channel communication</w:t>
      </w:r>
    </w:p>
    <w:p w14:paraId="47207AA0" w14:textId="332A3095" w:rsidR="009741E3" w:rsidRPr="007A25DF" w:rsidRDefault="002B3E3F">
      <w:pPr>
        <w:spacing w:line="240" w:lineRule="auto"/>
        <w:rPr>
          <w:lang w:val="en-GB"/>
        </w:rPr>
      </w:pPr>
      <w:r>
        <w:rPr>
          <w:lang w:val="en-GB"/>
        </w:rPr>
        <w:t>From</w:t>
      </w:r>
      <w:r w:rsidR="00B35132" w:rsidRPr="007A25DF">
        <w:rPr>
          <w:lang w:val="en-GB"/>
        </w:rPr>
        <w:t xml:space="preserve"> social media</w:t>
      </w:r>
      <w:r>
        <w:rPr>
          <w:lang w:val="en-GB"/>
        </w:rPr>
        <w:t xml:space="preserve"> to </w:t>
      </w:r>
      <w:r w:rsidR="00B35132" w:rsidRPr="007A25DF">
        <w:rPr>
          <w:lang w:val="en-GB"/>
        </w:rPr>
        <w:t>influencer</w:t>
      </w:r>
      <w:r>
        <w:rPr>
          <w:lang w:val="en-GB"/>
        </w:rPr>
        <w:t>’s</w:t>
      </w:r>
      <w:r w:rsidR="00B35132" w:rsidRPr="007A25DF">
        <w:rPr>
          <w:lang w:val="en-GB"/>
        </w:rPr>
        <w:t xml:space="preserve"> marketing </w:t>
      </w:r>
    </w:p>
    <w:p w14:paraId="45C9F9AC" w14:textId="279B3A6D" w:rsidR="009741E3" w:rsidRPr="007A25DF" w:rsidRDefault="00B35132" w:rsidP="00D679B8">
      <w:pPr>
        <w:spacing w:before="120" w:line="240" w:lineRule="auto"/>
        <w:rPr>
          <w:i/>
          <w:iCs/>
          <w:lang w:val="en-GB"/>
        </w:rPr>
      </w:pPr>
      <w:r w:rsidRPr="007A25DF">
        <w:rPr>
          <w:i/>
          <w:iCs/>
          <w:lang w:val="en-GB"/>
        </w:rPr>
        <w:t>MODUL</w:t>
      </w:r>
      <w:r w:rsidR="002C0F14" w:rsidRPr="007A25DF">
        <w:rPr>
          <w:i/>
          <w:iCs/>
          <w:lang w:val="en-GB"/>
        </w:rPr>
        <w:t>E</w:t>
      </w:r>
      <w:r w:rsidRPr="007A25DF">
        <w:rPr>
          <w:i/>
          <w:iCs/>
          <w:lang w:val="en-GB"/>
        </w:rPr>
        <w:t xml:space="preserve"> 9: Live Streaming </w:t>
      </w:r>
      <w:r w:rsidR="00A54C29">
        <w:rPr>
          <w:i/>
          <w:iCs/>
          <w:lang w:val="en-GB"/>
        </w:rPr>
        <w:t>to cultivate</w:t>
      </w:r>
      <w:r w:rsidRPr="007A25DF">
        <w:rPr>
          <w:i/>
          <w:iCs/>
          <w:lang w:val="en-GB"/>
        </w:rPr>
        <w:t xml:space="preserve"> trust-based </w:t>
      </w:r>
      <w:r w:rsidR="00A54C29">
        <w:rPr>
          <w:i/>
          <w:iCs/>
          <w:lang w:val="en-GB"/>
        </w:rPr>
        <w:t>relationships</w:t>
      </w:r>
    </w:p>
    <w:p w14:paraId="707C1519" w14:textId="4BC6B478" w:rsidR="009741E3" w:rsidRPr="007A25DF" w:rsidRDefault="00A54C29">
      <w:pPr>
        <w:spacing w:line="240" w:lineRule="auto"/>
        <w:rPr>
          <w:i/>
          <w:iCs/>
          <w:lang w:val="en-GB"/>
        </w:rPr>
      </w:pPr>
      <w:r>
        <w:rPr>
          <w:lang w:val="en-GB"/>
        </w:rPr>
        <w:lastRenderedPageBreak/>
        <w:t xml:space="preserve">Live events to immerse donors in the local reality without filters, in total transparency, to increase trust </w:t>
      </w:r>
    </w:p>
    <w:p w14:paraId="00195473" w14:textId="210644F9" w:rsidR="009741E3" w:rsidRPr="007A25DF" w:rsidRDefault="00B35132" w:rsidP="00D679B8">
      <w:pPr>
        <w:spacing w:before="120" w:line="240" w:lineRule="auto"/>
        <w:rPr>
          <w:i/>
          <w:iCs/>
          <w:lang w:val="en-GB"/>
        </w:rPr>
      </w:pPr>
      <w:r w:rsidRPr="007A25DF">
        <w:rPr>
          <w:i/>
          <w:iCs/>
          <w:lang w:val="en-GB"/>
        </w:rPr>
        <w:t>MODUL</w:t>
      </w:r>
      <w:r w:rsidR="002C0F14" w:rsidRPr="007A25DF">
        <w:rPr>
          <w:i/>
          <w:iCs/>
          <w:lang w:val="en-GB"/>
        </w:rPr>
        <w:t>E</w:t>
      </w:r>
      <w:r w:rsidRPr="007A25DF">
        <w:rPr>
          <w:i/>
          <w:iCs/>
          <w:lang w:val="en-GB"/>
        </w:rPr>
        <w:t xml:space="preserve"> 10: Funnel </w:t>
      </w:r>
      <w:r w:rsidR="002C0F14" w:rsidRPr="007A25DF">
        <w:rPr>
          <w:i/>
          <w:iCs/>
          <w:lang w:val="en-GB"/>
        </w:rPr>
        <w:t>and exercises</w:t>
      </w:r>
    </w:p>
    <w:p w14:paraId="53655327" w14:textId="77777777" w:rsidR="00A54C29" w:rsidRPr="00A54C29" w:rsidRDefault="00A54C29" w:rsidP="00A54C29">
      <w:pPr>
        <w:spacing w:line="240" w:lineRule="auto"/>
        <w:rPr>
          <w:lang w:val="en-GB"/>
        </w:rPr>
      </w:pPr>
      <w:r w:rsidRPr="00A54C29">
        <w:rPr>
          <w:lang w:val="en-GB"/>
        </w:rPr>
        <w:t>From first contact to follow up: nurturing the donor step by step</w:t>
      </w:r>
    </w:p>
    <w:p w14:paraId="5D52E5A7" w14:textId="6FD91DC9" w:rsidR="00A54C29" w:rsidRDefault="00A54C29" w:rsidP="00A54C29">
      <w:pPr>
        <w:spacing w:line="240" w:lineRule="auto"/>
        <w:rPr>
          <w:lang w:val="en-GB"/>
        </w:rPr>
      </w:pPr>
      <w:r w:rsidRPr="00A54C29">
        <w:rPr>
          <w:lang w:val="en-GB"/>
        </w:rPr>
        <w:t>Practic</w:t>
      </w:r>
      <w:r>
        <w:rPr>
          <w:lang w:val="en-GB"/>
        </w:rPr>
        <w:t>al activity</w:t>
      </w:r>
      <w:r w:rsidRPr="00A54C29">
        <w:rPr>
          <w:lang w:val="en-GB"/>
        </w:rPr>
        <w:t xml:space="preserve">: </w:t>
      </w:r>
      <w:r w:rsidR="00AB58A0">
        <w:rPr>
          <w:lang w:val="en-GB"/>
        </w:rPr>
        <w:t>d</w:t>
      </w:r>
      <w:r w:rsidRPr="00A54C29">
        <w:rPr>
          <w:lang w:val="en-GB"/>
        </w:rPr>
        <w:t xml:space="preserve">esign a marketing plan and digital fundraising event </w:t>
      </w:r>
    </w:p>
    <w:p w14:paraId="5B683BF7" w14:textId="2644508B" w:rsidR="009741E3" w:rsidRPr="007A25DF" w:rsidRDefault="002C0F14">
      <w:pPr>
        <w:spacing w:before="240" w:after="120" w:line="220" w:lineRule="exact"/>
        <w:rPr>
          <w:b/>
          <w:bCs/>
          <w:i/>
          <w:iCs/>
          <w:sz w:val="18"/>
          <w:szCs w:val="18"/>
          <w:lang w:val="en-GB"/>
        </w:rPr>
      </w:pPr>
      <w:r w:rsidRPr="007A25DF">
        <w:rPr>
          <w:b/>
          <w:bCs/>
          <w:i/>
          <w:iCs/>
          <w:sz w:val="18"/>
          <w:szCs w:val="18"/>
          <w:lang w:val="en-GB"/>
        </w:rPr>
        <w:t>READING LIST</w:t>
      </w:r>
    </w:p>
    <w:p w14:paraId="48D14CB8" w14:textId="76BBD7CF" w:rsidR="009741E3" w:rsidRPr="007A25DF" w:rsidRDefault="00B35132">
      <w:pPr>
        <w:spacing w:line="240" w:lineRule="atLeast"/>
        <w:ind w:left="284" w:hanging="284"/>
        <w:rPr>
          <w:rFonts w:ascii="Times Roman" w:eastAsia="Times Roman" w:hAnsi="Times Roman" w:cs="Times Roman"/>
          <w:spacing w:val="-5"/>
          <w:sz w:val="18"/>
          <w:szCs w:val="18"/>
          <w:lang w:val="en-GB"/>
        </w:rPr>
      </w:pPr>
      <w:r w:rsidRPr="007A25DF">
        <w:rPr>
          <w:rFonts w:ascii="Times Roman" w:hAnsi="Times Roman"/>
          <w:smallCaps/>
          <w:spacing w:val="-5"/>
          <w:sz w:val="16"/>
          <w:szCs w:val="16"/>
          <w:lang w:val="en-GB"/>
        </w:rPr>
        <w:t>R. Papocchia,</w:t>
      </w:r>
      <w:r w:rsidRPr="007A25DF">
        <w:rPr>
          <w:rFonts w:ascii="Times Roman" w:hAnsi="Times Roman"/>
          <w:i/>
          <w:iCs/>
          <w:spacing w:val="-5"/>
          <w:sz w:val="18"/>
          <w:szCs w:val="18"/>
          <w:lang w:val="en-GB"/>
        </w:rPr>
        <w:t xml:space="preserve"> Fundraising dalle fondazioni di origine bancaria,</w:t>
      </w:r>
      <w:r w:rsidRPr="007A25DF">
        <w:rPr>
          <w:rFonts w:ascii="Times Roman" w:hAnsi="Times Roman"/>
          <w:spacing w:val="-5"/>
          <w:sz w:val="18"/>
          <w:szCs w:val="18"/>
          <w:lang w:val="en-GB"/>
        </w:rPr>
        <w:t xml:space="preserve"> SMART Fundraising, </w:t>
      </w:r>
      <w:r w:rsidR="002C0F14" w:rsidRPr="007A25DF">
        <w:rPr>
          <w:rFonts w:ascii="Times Roman" w:hAnsi="Times Roman"/>
          <w:spacing w:val="-5"/>
          <w:sz w:val="18"/>
          <w:szCs w:val="18"/>
          <w:lang w:val="en-GB"/>
        </w:rPr>
        <w:t>May</w:t>
      </w:r>
      <w:r w:rsidRPr="007A25DF">
        <w:rPr>
          <w:rFonts w:ascii="Times Roman" w:hAnsi="Times Roman"/>
          <w:spacing w:val="-5"/>
          <w:sz w:val="18"/>
          <w:szCs w:val="18"/>
          <w:lang w:val="en-GB"/>
        </w:rPr>
        <w:t xml:space="preserve"> 2012</w:t>
      </w:r>
    </w:p>
    <w:p w14:paraId="20790E74" w14:textId="25D2B3C6" w:rsidR="009741E3" w:rsidRPr="007A25DF" w:rsidRDefault="00B35132">
      <w:pPr>
        <w:spacing w:line="240" w:lineRule="atLeast"/>
        <w:ind w:left="284" w:hanging="284"/>
        <w:rPr>
          <w:rStyle w:val="None"/>
          <w:rFonts w:ascii="Times Roman" w:eastAsia="Times Roman" w:hAnsi="Times Roman" w:cs="Times Roman"/>
          <w:smallCaps/>
          <w:spacing w:val="-5"/>
          <w:sz w:val="16"/>
          <w:szCs w:val="16"/>
          <w:lang w:val="en-GB"/>
        </w:rPr>
      </w:pPr>
      <w:r w:rsidRPr="007A25DF">
        <w:rPr>
          <w:rFonts w:ascii="Times Roman" w:hAnsi="Times Roman"/>
          <w:smallCaps/>
          <w:spacing w:val="-5"/>
          <w:sz w:val="16"/>
          <w:szCs w:val="16"/>
          <w:lang w:val="en-GB"/>
        </w:rPr>
        <w:t xml:space="preserve">B. Casadei,  </w:t>
      </w:r>
      <w:r w:rsidRPr="007A25DF">
        <w:rPr>
          <w:rFonts w:ascii="Times Roman" w:hAnsi="Times Roman"/>
          <w:i/>
          <w:iCs/>
          <w:spacing w:val="-5"/>
          <w:sz w:val="18"/>
          <w:szCs w:val="18"/>
          <w:lang w:val="en-GB"/>
        </w:rPr>
        <w:t>Le fondazioni di comunità. Strumenti e strategie per un nuovo welfare</w:t>
      </w:r>
      <w:r w:rsidRPr="007A25DF">
        <w:rPr>
          <w:rFonts w:ascii="Times Roman" w:hAnsi="Times Roman"/>
          <w:smallCaps/>
          <w:spacing w:val="-5"/>
          <w:sz w:val="16"/>
          <w:szCs w:val="16"/>
          <w:lang w:val="en-GB"/>
        </w:rPr>
        <w:t xml:space="preserve">,  </w:t>
      </w:r>
      <w:r w:rsidRPr="007A25DF">
        <w:rPr>
          <w:rFonts w:ascii="Times Roman" w:hAnsi="Times Roman"/>
          <w:spacing w:val="-5"/>
          <w:sz w:val="18"/>
          <w:szCs w:val="18"/>
          <w:lang w:val="en-GB"/>
        </w:rPr>
        <w:t>Carocci,</w:t>
      </w:r>
      <w:r w:rsidRPr="007A25DF">
        <w:rPr>
          <w:rFonts w:ascii="Times Roman" w:hAnsi="Times Roman"/>
          <w:smallCaps/>
          <w:spacing w:val="-5"/>
          <w:sz w:val="16"/>
          <w:szCs w:val="16"/>
          <w:lang w:val="en-GB"/>
        </w:rPr>
        <w:t xml:space="preserve"> </w:t>
      </w:r>
      <w:r w:rsidRPr="007A25DF">
        <w:rPr>
          <w:rFonts w:ascii="Times Roman" w:hAnsi="Times Roman"/>
          <w:smallCaps/>
          <w:spacing w:val="-5"/>
          <w:sz w:val="18"/>
          <w:szCs w:val="18"/>
          <w:lang w:val="en-GB"/>
        </w:rPr>
        <w:t>2015</w:t>
      </w:r>
      <w:r w:rsidR="00866A64" w:rsidRPr="007A25DF">
        <w:rPr>
          <w:rFonts w:ascii="Times Roman" w:hAnsi="Times Roman"/>
          <w:smallCaps/>
          <w:spacing w:val="-5"/>
          <w:sz w:val="16"/>
          <w:szCs w:val="16"/>
          <w:lang w:val="en-GB"/>
        </w:rPr>
        <w:t xml:space="preserve"> </w:t>
      </w:r>
    </w:p>
    <w:p w14:paraId="5F2C4949" w14:textId="1F476D27" w:rsidR="009741E3" w:rsidRPr="007A25DF" w:rsidRDefault="00B35132">
      <w:pPr>
        <w:spacing w:line="240" w:lineRule="atLeast"/>
        <w:ind w:left="284" w:hanging="284"/>
        <w:rPr>
          <w:rStyle w:val="None"/>
          <w:rFonts w:ascii="Times Roman" w:eastAsia="Times Roman" w:hAnsi="Times Roman" w:cs="Times Roman"/>
          <w:smallCaps/>
          <w:spacing w:val="-5"/>
          <w:sz w:val="16"/>
          <w:szCs w:val="16"/>
          <w:lang w:val="en-GB"/>
        </w:rPr>
      </w:pPr>
      <w:r w:rsidRPr="007A25DF">
        <w:rPr>
          <w:rStyle w:val="None"/>
          <w:rFonts w:ascii="Times Roman" w:hAnsi="Times Roman"/>
          <w:smallCaps/>
          <w:spacing w:val="-5"/>
          <w:sz w:val="16"/>
          <w:szCs w:val="16"/>
          <w:lang w:val="en-GB"/>
        </w:rPr>
        <w:t xml:space="preserve">M. Grumo, </w:t>
      </w:r>
      <w:r w:rsidRPr="007A25DF">
        <w:rPr>
          <w:rStyle w:val="None"/>
          <w:rFonts w:ascii="Times Roman" w:hAnsi="Times Roman"/>
          <w:i/>
          <w:iCs/>
          <w:spacing w:val="-5"/>
          <w:sz w:val="18"/>
          <w:szCs w:val="18"/>
          <w:lang w:val="en-GB"/>
        </w:rPr>
        <w:t>Le partnership tra fondazioni d’impresa e istituti non profit</w:t>
      </w:r>
      <w:r w:rsidRPr="007A25DF">
        <w:rPr>
          <w:rStyle w:val="None"/>
          <w:rFonts w:ascii="Times Roman" w:hAnsi="Times Roman"/>
          <w:smallCaps/>
          <w:spacing w:val="-5"/>
          <w:sz w:val="16"/>
          <w:szCs w:val="16"/>
          <w:lang w:val="en-GB"/>
        </w:rPr>
        <w:t xml:space="preserve">, </w:t>
      </w:r>
      <w:r w:rsidRPr="007A25DF">
        <w:rPr>
          <w:rStyle w:val="None"/>
          <w:rFonts w:ascii="Times Roman" w:hAnsi="Times Roman"/>
          <w:spacing w:val="-5"/>
          <w:sz w:val="18"/>
          <w:szCs w:val="18"/>
          <w:lang w:val="en-GB"/>
        </w:rPr>
        <w:t>Vita&amp;Pensiero,</w:t>
      </w:r>
      <w:r w:rsidRPr="007A25DF">
        <w:rPr>
          <w:rStyle w:val="None"/>
          <w:rFonts w:ascii="Times Roman" w:hAnsi="Times Roman"/>
          <w:smallCaps/>
          <w:spacing w:val="-5"/>
          <w:sz w:val="16"/>
          <w:szCs w:val="16"/>
          <w:lang w:val="en-GB"/>
        </w:rPr>
        <w:t xml:space="preserve"> </w:t>
      </w:r>
      <w:r w:rsidRPr="007A25DF">
        <w:rPr>
          <w:rStyle w:val="None"/>
          <w:rFonts w:ascii="Times Roman" w:hAnsi="Times Roman"/>
          <w:smallCaps/>
          <w:spacing w:val="-5"/>
          <w:sz w:val="18"/>
          <w:szCs w:val="18"/>
          <w:lang w:val="en-GB"/>
        </w:rPr>
        <w:t>2007</w:t>
      </w:r>
      <w:r w:rsidR="00866A64" w:rsidRPr="007A25DF">
        <w:rPr>
          <w:rStyle w:val="None"/>
          <w:rFonts w:ascii="Times Roman" w:hAnsi="Times Roman"/>
          <w:smallCaps/>
          <w:spacing w:val="-5"/>
          <w:sz w:val="16"/>
          <w:szCs w:val="16"/>
          <w:lang w:val="en-GB"/>
        </w:rPr>
        <w:t xml:space="preserve"> </w:t>
      </w:r>
    </w:p>
    <w:p w14:paraId="41046ADC" w14:textId="15448708" w:rsidR="009741E3" w:rsidRPr="007A25DF" w:rsidRDefault="00D679B8">
      <w:pPr>
        <w:spacing w:line="240" w:lineRule="atLeast"/>
        <w:ind w:left="284" w:hanging="284"/>
        <w:rPr>
          <w:rStyle w:val="None"/>
          <w:rFonts w:ascii="Times Roman" w:eastAsia="Times Roman" w:hAnsi="Times Roman" w:cs="Times Roman"/>
          <w:smallCaps/>
          <w:spacing w:val="-5"/>
          <w:sz w:val="16"/>
          <w:szCs w:val="16"/>
          <w:lang w:val="en-GB"/>
        </w:rPr>
      </w:pPr>
      <w:r w:rsidRPr="007A25DF">
        <w:rPr>
          <w:rStyle w:val="None"/>
          <w:rFonts w:ascii="Times Roman" w:hAnsi="Times Roman"/>
          <w:smallCaps/>
          <w:spacing w:val="-5"/>
          <w:sz w:val="16"/>
          <w:szCs w:val="16"/>
          <w:lang w:val="en-GB"/>
        </w:rPr>
        <w:t>G. P. Barbetta</w:t>
      </w:r>
      <w:r w:rsidR="00B35132" w:rsidRPr="007A25DF">
        <w:rPr>
          <w:rStyle w:val="None"/>
          <w:rFonts w:ascii="Times Roman" w:hAnsi="Times Roman"/>
          <w:smallCaps/>
          <w:spacing w:val="-5"/>
          <w:sz w:val="16"/>
          <w:szCs w:val="16"/>
          <w:lang w:val="en-GB"/>
        </w:rPr>
        <w:t xml:space="preserve">,  </w:t>
      </w:r>
      <w:r w:rsidR="00B35132" w:rsidRPr="007A25DF">
        <w:rPr>
          <w:rStyle w:val="None"/>
          <w:rFonts w:ascii="Times Roman" w:hAnsi="Times Roman"/>
          <w:i/>
          <w:iCs/>
          <w:spacing w:val="-5"/>
          <w:sz w:val="18"/>
          <w:szCs w:val="18"/>
          <w:lang w:val="en-GB"/>
        </w:rPr>
        <w:t>Le fondazioni. Il motore finanziario del terzo settore,</w:t>
      </w:r>
      <w:r w:rsidR="00B35132" w:rsidRPr="007A25DF">
        <w:rPr>
          <w:rStyle w:val="None"/>
          <w:rFonts w:ascii="Times Roman" w:hAnsi="Times Roman"/>
          <w:spacing w:val="-5"/>
          <w:sz w:val="18"/>
          <w:szCs w:val="18"/>
          <w:lang w:val="en-GB"/>
        </w:rPr>
        <w:t xml:space="preserve"> il Mulino, 2013</w:t>
      </w:r>
    </w:p>
    <w:p w14:paraId="61843EA1" w14:textId="77777777" w:rsidR="009741E3" w:rsidRPr="007A25DF" w:rsidRDefault="00B35132">
      <w:pPr>
        <w:spacing w:line="240" w:lineRule="atLeast"/>
        <w:ind w:left="284" w:hanging="284"/>
        <w:rPr>
          <w:rStyle w:val="None"/>
          <w:rFonts w:ascii="Times Roman" w:eastAsia="Times Roman" w:hAnsi="Times Roman" w:cs="Times Roman"/>
          <w:i/>
          <w:iCs/>
          <w:spacing w:val="-5"/>
          <w:sz w:val="18"/>
          <w:szCs w:val="18"/>
          <w:lang w:val="en-GB"/>
        </w:rPr>
      </w:pPr>
      <w:r w:rsidRPr="007A25DF">
        <w:rPr>
          <w:rStyle w:val="None"/>
          <w:rFonts w:ascii="Times Roman" w:hAnsi="Times Roman"/>
          <w:smallCaps/>
          <w:spacing w:val="-5"/>
          <w:sz w:val="16"/>
          <w:szCs w:val="16"/>
          <w:lang w:val="en-GB"/>
        </w:rPr>
        <w:t xml:space="preserve">S. Castello e u. Swierczynska,  </w:t>
      </w:r>
      <w:r w:rsidRPr="007A25DF">
        <w:rPr>
          <w:rStyle w:val="None"/>
          <w:rFonts w:ascii="Times Roman" w:hAnsi="Times Roman"/>
          <w:i/>
          <w:iCs/>
          <w:spacing w:val="-5"/>
          <w:sz w:val="18"/>
          <w:szCs w:val="18"/>
          <w:lang w:val="en-GB"/>
        </w:rPr>
        <w:t>Filantropia 2.0, istruzioni per l’uso,</w:t>
      </w:r>
      <w:r w:rsidRPr="007A25DF">
        <w:rPr>
          <w:rStyle w:val="None"/>
          <w:rFonts w:ascii="Times Roman" w:hAnsi="Times Roman"/>
          <w:spacing w:val="-5"/>
          <w:sz w:val="18"/>
          <w:szCs w:val="18"/>
          <w:lang w:val="en-GB"/>
        </w:rPr>
        <w:t xml:space="preserve"> FrancoAngeli, 2021</w:t>
      </w:r>
    </w:p>
    <w:p w14:paraId="296395FC" w14:textId="77777777" w:rsidR="009741E3" w:rsidRPr="007A25DF" w:rsidRDefault="00B35132">
      <w:pPr>
        <w:spacing w:line="240" w:lineRule="atLeast"/>
        <w:ind w:left="284" w:hanging="284"/>
        <w:rPr>
          <w:rStyle w:val="None"/>
          <w:rFonts w:ascii="Times Roman" w:eastAsia="Times Roman" w:hAnsi="Times Roman" w:cs="Times Roman"/>
          <w:spacing w:val="-5"/>
          <w:sz w:val="18"/>
          <w:szCs w:val="18"/>
          <w:lang w:val="en-GB"/>
        </w:rPr>
      </w:pPr>
      <w:r w:rsidRPr="007A25DF">
        <w:rPr>
          <w:rStyle w:val="None"/>
          <w:rFonts w:ascii="Times Roman" w:hAnsi="Times Roman"/>
          <w:smallCaps/>
          <w:spacing w:val="-5"/>
          <w:sz w:val="16"/>
          <w:szCs w:val="16"/>
          <w:lang w:val="en-GB"/>
        </w:rPr>
        <w:t xml:space="preserve">e.  Bortoluzzi dubach e c. tinonin,  </w:t>
      </w:r>
      <w:r w:rsidRPr="007A25DF">
        <w:rPr>
          <w:rStyle w:val="None"/>
          <w:rFonts w:ascii="Times Roman" w:hAnsi="Times Roman"/>
          <w:i/>
          <w:iCs/>
          <w:spacing w:val="-5"/>
          <w:sz w:val="18"/>
          <w:szCs w:val="18"/>
          <w:lang w:val="en-GB"/>
        </w:rPr>
        <w:t xml:space="preserve">La relazione generosa. Guida alla collaborazione con filantropi e mecenati, </w:t>
      </w:r>
      <w:r w:rsidRPr="007A25DF">
        <w:rPr>
          <w:rStyle w:val="None"/>
          <w:rFonts w:ascii="Times Roman" w:hAnsi="Times Roman"/>
          <w:spacing w:val="-5"/>
          <w:sz w:val="18"/>
          <w:szCs w:val="18"/>
          <w:lang w:val="en-GB"/>
        </w:rPr>
        <w:t>FrancoAngeli, 2020</w:t>
      </w:r>
    </w:p>
    <w:p w14:paraId="6C7DA2CF" w14:textId="77777777" w:rsidR="009741E3" w:rsidRPr="007A25DF" w:rsidRDefault="00B35132">
      <w:pPr>
        <w:spacing w:line="240" w:lineRule="atLeast"/>
        <w:ind w:left="284" w:hanging="284"/>
        <w:rPr>
          <w:rStyle w:val="None"/>
          <w:rFonts w:ascii="Times Roman" w:hAnsi="Times Roman"/>
          <w:spacing w:val="-4"/>
          <w:sz w:val="16"/>
          <w:szCs w:val="16"/>
          <w:lang w:val="en-GB"/>
        </w:rPr>
      </w:pPr>
      <w:r w:rsidRPr="007A25DF">
        <w:rPr>
          <w:rStyle w:val="None"/>
          <w:rFonts w:ascii="Times Roman" w:hAnsi="Times Roman"/>
          <w:spacing w:val="-4"/>
          <w:sz w:val="16"/>
          <w:szCs w:val="16"/>
          <w:lang w:val="en-GB"/>
        </w:rPr>
        <w:t xml:space="preserve">FONDAZIONE ITALIA SOCIALE, La filantropia in Italia nel confronto internazionale, Working Paper 1, 2019. </w:t>
      </w:r>
    </w:p>
    <w:p w14:paraId="2ADBDD3B" w14:textId="77777777" w:rsidR="00866A64" w:rsidRPr="007A25DF" w:rsidRDefault="00866A64">
      <w:pPr>
        <w:spacing w:line="240" w:lineRule="atLeast"/>
        <w:ind w:left="284" w:hanging="284"/>
        <w:rPr>
          <w:rStyle w:val="None"/>
          <w:rFonts w:ascii="Times Roman" w:hAnsi="Times Roman"/>
          <w:smallCaps/>
          <w:spacing w:val="-5"/>
          <w:sz w:val="16"/>
          <w:szCs w:val="16"/>
          <w:lang w:val="en-GB"/>
        </w:rPr>
      </w:pPr>
      <w:r w:rsidRPr="007A25DF">
        <w:rPr>
          <w:rStyle w:val="None"/>
          <w:rFonts w:ascii="Times Roman" w:hAnsi="Times Roman"/>
          <w:spacing w:val="-4"/>
          <w:sz w:val="16"/>
          <w:szCs w:val="16"/>
          <w:lang w:val="en-GB"/>
        </w:rPr>
        <w:t>S</w:t>
      </w:r>
      <w:r w:rsidRPr="007A25DF">
        <w:rPr>
          <w:rStyle w:val="None"/>
          <w:rFonts w:ascii="Times Roman" w:hAnsi="Times Roman"/>
          <w:smallCaps/>
          <w:spacing w:val="-5"/>
          <w:sz w:val="16"/>
          <w:szCs w:val="16"/>
          <w:lang w:val="en-GB"/>
        </w:rPr>
        <w:t xml:space="preserve">. Godin,  </w:t>
      </w:r>
      <w:r w:rsidRPr="007A25DF">
        <w:rPr>
          <w:rStyle w:val="None"/>
          <w:rFonts w:ascii="Times Roman" w:hAnsi="Times Roman"/>
          <w:i/>
          <w:iCs/>
          <w:spacing w:val="-5"/>
          <w:sz w:val="18"/>
          <w:szCs w:val="18"/>
          <w:lang w:val="en-GB"/>
        </w:rPr>
        <w:t>La Mucca Viola, ROI Edizioni 2021</w:t>
      </w:r>
    </w:p>
    <w:p w14:paraId="65CDCE83" w14:textId="262FAD64" w:rsidR="009741E3" w:rsidRPr="007A25DF" w:rsidRDefault="007A25DF">
      <w:pPr>
        <w:spacing w:before="240" w:after="120" w:line="220" w:lineRule="exact"/>
        <w:rPr>
          <w:rStyle w:val="None"/>
          <w:b/>
          <w:bCs/>
          <w:i/>
          <w:iCs/>
          <w:sz w:val="18"/>
          <w:szCs w:val="18"/>
          <w:lang w:val="en-GB"/>
        </w:rPr>
      </w:pPr>
      <w:r>
        <w:rPr>
          <w:rStyle w:val="None"/>
          <w:b/>
          <w:bCs/>
          <w:i/>
          <w:iCs/>
          <w:sz w:val="18"/>
          <w:szCs w:val="18"/>
          <w:lang w:val="en-GB"/>
        </w:rPr>
        <w:t>TEACHING METHOD</w:t>
      </w:r>
    </w:p>
    <w:p w14:paraId="59CAED8C" w14:textId="77777777" w:rsidR="002C0F14" w:rsidRPr="007A25DF" w:rsidRDefault="002C0F14" w:rsidP="002C0F14">
      <w:pPr>
        <w:pStyle w:val="Testo2"/>
        <w:rPr>
          <w:lang w:val="en-GB"/>
        </w:rPr>
      </w:pPr>
      <w:r w:rsidRPr="007A25DF">
        <w:rPr>
          <w:lang w:val="en-GB"/>
        </w:rPr>
        <w:t>Frontal lectures in class, supported by guided practical activities, to be carried out in groups.</w:t>
      </w:r>
    </w:p>
    <w:p w14:paraId="36B49E2C" w14:textId="77777777" w:rsidR="002C0F14" w:rsidRPr="007A25DF" w:rsidRDefault="002C0F14" w:rsidP="002C0F14">
      <w:pPr>
        <w:spacing w:before="240" w:after="120" w:line="220" w:lineRule="exact"/>
        <w:rPr>
          <w:b/>
          <w:bCs/>
          <w:i/>
          <w:iCs/>
          <w:sz w:val="18"/>
          <w:szCs w:val="18"/>
          <w:lang w:val="en-GB"/>
        </w:rPr>
      </w:pPr>
      <w:r w:rsidRPr="007A25DF">
        <w:rPr>
          <w:b/>
          <w:bCs/>
          <w:i/>
          <w:iCs/>
          <w:sz w:val="18"/>
          <w:szCs w:val="18"/>
          <w:lang w:val="en-GB"/>
        </w:rPr>
        <w:t>ASSESSMENT METHOD AND CRITERIA</w:t>
      </w:r>
    </w:p>
    <w:p w14:paraId="06300732" w14:textId="607C09A5" w:rsidR="002C0F14" w:rsidRPr="007A25DF" w:rsidRDefault="002C0F14" w:rsidP="002C0F14">
      <w:pPr>
        <w:pStyle w:val="Testo2"/>
        <w:rPr>
          <w:lang w:val="en-GB"/>
        </w:rPr>
      </w:pPr>
      <w:r w:rsidRPr="007A25DF">
        <w:rPr>
          <w:lang w:val="en-GB"/>
        </w:rPr>
        <w:t xml:space="preserve">The final assessment will be based on </w:t>
      </w:r>
      <w:r w:rsidR="00AB58A0">
        <w:rPr>
          <w:lang w:val="en-GB"/>
        </w:rPr>
        <w:t xml:space="preserve">students’ </w:t>
      </w:r>
      <w:r w:rsidRPr="007A25DF">
        <w:rPr>
          <w:lang w:val="en-GB"/>
        </w:rPr>
        <w:t>active participation in class</w:t>
      </w:r>
      <w:r w:rsidR="00AB58A0">
        <w:rPr>
          <w:lang w:val="en-GB"/>
        </w:rPr>
        <w:t xml:space="preserve"> and </w:t>
      </w:r>
      <w:r w:rsidRPr="007A25DF">
        <w:rPr>
          <w:lang w:val="en-GB"/>
        </w:rPr>
        <w:t>a</w:t>
      </w:r>
      <w:r w:rsidR="00AB58A0">
        <w:rPr>
          <w:lang w:val="en-GB"/>
        </w:rPr>
        <w:t xml:space="preserve"> written</w:t>
      </w:r>
      <w:r w:rsidRPr="007A25DF">
        <w:rPr>
          <w:lang w:val="en-GB"/>
        </w:rPr>
        <w:t xml:space="preserve"> paper to be submitted at the end of the course</w:t>
      </w:r>
      <w:r w:rsidR="00AB58A0">
        <w:rPr>
          <w:lang w:val="en-GB"/>
        </w:rPr>
        <w:t>. Students will</w:t>
      </w:r>
      <w:r w:rsidRPr="007A25DF">
        <w:rPr>
          <w:lang w:val="en-GB"/>
        </w:rPr>
        <w:t xml:space="preserve"> answer a set of questions and design a marketing plan for an NGO. The assessment criteria will include accuracy (in terms of observance of the instructions given by the lecturer), </w:t>
      </w:r>
      <w:r w:rsidR="00640D38">
        <w:rPr>
          <w:lang w:val="en-GB"/>
        </w:rPr>
        <w:t xml:space="preserve">use of </w:t>
      </w:r>
      <w:r w:rsidRPr="007A25DF">
        <w:rPr>
          <w:lang w:val="en-GB"/>
        </w:rPr>
        <w:t>appropriate methodologies and terminology, and analytical quality</w:t>
      </w:r>
      <w:r w:rsidR="00640D38">
        <w:rPr>
          <w:lang w:val="en-GB"/>
        </w:rPr>
        <w:t xml:space="preserve"> of the paper</w:t>
      </w:r>
      <w:r w:rsidRPr="007A25DF">
        <w:rPr>
          <w:lang w:val="en-GB"/>
        </w:rPr>
        <w:t>.</w:t>
      </w:r>
    </w:p>
    <w:p w14:paraId="3B8F03D0" w14:textId="77777777" w:rsidR="007A25DF" w:rsidRPr="007A25DF" w:rsidRDefault="007A25DF" w:rsidP="007A25DF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7A25DF">
        <w:rPr>
          <w:b/>
          <w:bCs/>
          <w:i/>
          <w:iCs/>
          <w:sz w:val="18"/>
          <w:szCs w:val="18"/>
          <w:lang w:val="en-GB"/>
        </w:rPr>
        <w:t>NOTES AND PREREQUISITES</w:t>
      </w:r>
    </w:p>
    <w:p w14:paraId="7C6C5C30" w14:textId="77777777" w:rsidR="008076C9" w:rsidRPr="008076C9" w:rsidRDefault="008076C9" w:rsidP="008076C9">
      <w:pPr>
        <w:pStyle w:val="Testo2"/>
        <w:spacing w:before="120"/>
        <w:ind w:firstLine="0"/>
        <w:rPr>
          <w:lang w:val="en-GB"/>
        </w:rPr>
      </w:pPr>
      <w:r w:rsidRPr="008076C9">
        <w:rPr>
          <w:lang w:val="en-GB"/>
        </w:rPr>
        <w:t>No particular prior knowledge is necessary to follow the laboratory.</w:t>
      </w:r>
    </w:p>
    <w:p w14:paraId="2D520046" w14:textId="06336312" w:rsidR="008076C9" w:rsidRPr="007A25DF" w:rsidRDefault="008076C9" w:rsidP="008076C9">
      <w:pPr>
        <w:pStyle w:val="Testo2"/>
        <w:spacing w:before="120"/>
        <w:ind w:firstLine="0"/>
        <w:rPr>
          <w:lang w:val="en-GB"/>
        </w:rPr>
      </w:pPr>
      <w:r w:rsidRPr="003A0D92">
        <w:rPr>
          <w:i/>
          <w:iCs/>
          <w:lang w:val="en-GB"/>
        </w:rPr>
        <w:t>Class attendance</w:t>
      </w:r>
      <w:r w:rsidRPr="003A0D92">
        <w:rPr>
          <w:lang w:val="en-GB"/>
        </w:rPr>
        <w:t>: students will have to attend at least 80% of the lectures. The students who do not have the possibility to attend classes will have to inform the lecturer, in order to define alternative modes of attendance</w:t>
      </w:r>
      <w:r>
        <w:rPr>
          <w:lang w:val="en-GB"/>
        </w:rPr>
        <w:t>.</w:t>
      </w:r>
    </w:p>
    <w:p w14:paraId="390285AA" w14:textId="77777777" w:rsidR="008838D7" w:rsidRDefault="008838D7" w:rsidP="008838D7">
      <w:pPr>
        <w:tabs>
          <w:tab w:val="left" w:pos="720"/>
        </w:tabs>
        <w:ind w:firstLine="284"/>
        <w:rPr>
          <w:sz w:val="18"/>
          <w:lang w:val="en-GB"/>
        </w:rPr>
      </w:pPr>
    </w:p>
    <w:p w14:paraId="01E30351" w14:textId="6D002118" w:rsidR="008838D7" w:rsidRDefault="008838D7" w:rsidP="008838D7">
      <w:pPr>
        <w:tabs>
          <w:tab w:val="left" w:pos="720"/>
        </w:tabs>
        <w:ind w:firstLine="284"/>
        <w:rPr>
          <w:rFonts w:ascii="Times" w:hAnsi="Times" w:cs="Times New Roman"/>
          <w:color w:val="auto"/>
          <w:sz w:val="18"/>
          <w:lang w:val="en-GB"/>
        </w:rPr>
      </w:pPr>
      <w:r>
        <w:rPr>
          <w:sz w:val="18"/>
          <w:lang w:val="en-GB"/>
        </w:rPr>
        <w:t xml:space="preserve">Further information can be found on the lecturer's webpage at </w:t>
      </w:r>
      <w:r>
        <w:rPr>
          <w:sz w:val="18"/>
          <w:shd w:val="clear" w:color="auto" w:fill="FFFFFF"/>
          <w:lang w:val="en-GB"/>
        </w:rPr>
        <w:t>http://docenti.unicatt.it/web/searchByName.do?language=ENG</w:t>
      </w:r>
      <w:r>
        <w:rPr>
          <w:sz w:val="18"/>
          <w:lang w:val="en-GB"/>
        </w:rPr>
        <w:t>, or on the Faculty notice board</w:t>
      </w:r>
      <w:r>
        <w:rPr>
          <w:rFonts w:ascii="Times" w:hAnsi="Times"/>
          <w:sz w:val="18"/>
          <w:lang w:val="en-GB"/>
        </w:rPr>
        <w:t>.</w:t>
      </w:r>
    </w:p>
    <w:p w14:paraId="38E1AF73" w14:textId="42F9BD61" w:rsidR="009741E3" w:rsidRPr="007A25DF" w:rsidRDefault="009741E3">
      <w:pPr>
        <w:pStyle w:val="Testo2"/>
        <w:rPr>
          <w:lang w:val="en-GB"/>
        </w:rPr>
      </w:pPr>
    </w:p>
    <w:sectPr w:rsidR="009741E3" w:rsidRPr="007A25DF">
      <w:headerReference w:type="default" r:id="rId6"/>
      <w:footerReference w:type="default" r:id="rId7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EE05" w14:textId="77777777" w:rsidR="00E704E1" w:rsidRDefault="00E704E1">
      <w:pPr>
        <w:spacing w:line="240" w:lineRule="auto"/>
      </w:pPr>
      <w:r>
        <w:separator/>
      </w:r>
    </w:p>
  </w:endnote>
  <w:endnote w:type="continuationSeparator" w:id="0">
    <w:p w14:paraId="2BDA604E" w14:textId="77777777" w:rsidR="00E704E1" w:rsidRDefault="00E70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AF63" w14:textId="77777777" w:rsidR="009741E3" w:rsidRDefault="009741E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BCF3" w14:textId="77777777" w:rsidR="00E704E1" w:rsidRDefault="00E704E1">
      <w:r>
        <w:separator/>
      </w:r>
    </w:p>
  </w:footnote>
  <w:footnote w:type="continuationSeparator" w:id="0">
    <w:p w14:paraId="1F3CAAFA" w14:textId="77777777" w:rsidR="00E704E1" w:rsidRDefault="00E704E1">
      <w:r>
        <w:continuationSeparator/>
      </w:r>
    </w:p>
  </w:footnote>
  <w:footnote w:type="continuationNotice" w:id="1">
    <w:p w14:paraId="14F8CE0D" w14:textId="77777777" w:rsidR="00E704E1" w:rsidRDefault="00E704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1EF0" w14:textId="77777777" w:rsidR="009741E3" w:rsidRDefault="009741E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284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E3"/>
    <w:rsid w:val="000333DA"/>
    <w:rsid w:val="002B3E3F"/>
    <w:rsid w:val="002C0F14"/>
    <w:rsid w:val="00353DB3"/>
    <w:rsid w:val="003A0D92"/>
    <w:rsid w:val="003D5E23"/>
    <w:rsid w:val="003E76CD"/>
    <w:rsid w:val="003F71E0"/>
    <w:rsid w:val="00412166"/>
    <w:rsid w:val="004953C6"/>
    <w:rsid w:val="00547218"/>
    <w:rsid w:val="00566D8E"/>
    <w:rsid w:val="00567FEF"/>
    <w:rsid w:val="00640D38"/>
    <w:rsid w:val="00645046"/>
    <w:rsid w:val="006D7DAA"/>
    <w:rsid w:val="007A25DF"/>
    <w:rsid w:val="008076C9"/>
    <w:rsid w:val="00866A64"/>
    <w:rsid w:val="008838D7"/>
    <w:rsid w:val="008A282F"/>
    <w:rsid w:val="009741E3"/>
    <w:rsid w:val="009C2964"/>
    <w:rsid w:val="00A54C29"/>
    <w:rsid w:val="00AB58A0"/>
    <w:rsid w:val="00B35132"/>
    <w:rsid w:val="00BC6E08"/>
    <w:rsid w:val="00D679B8"/>
    <w:rsid w:val="00DD471E"/>
    <w:rsid w:val="00DF17E8"/>
    <w:rsid w:val="00E704E1"/>
    <w:rsid w:val="00F8658F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4396"/>
  <w15:docId w15:val="{7A160632-8CFA-5641-9E6E-2D4AE55B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spacing w:line="240" w:lineRule="exact"/>
      <w:jc w:val="both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jc w:val="both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pPr>
      <w:spacing w:line="240" w:lineRule="exact"/>
      <w:jc w:val="both"/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i/>
      <w:iCs/>
      <w:outline w:val="0"/>
      <w:color w:val="0000FF"/>
      <w:sz w:val="16"/>
      <w:szCs w:val="16"/>
      <w:u w:val="single" w:color="0000FF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i/>
      <w:iCs/>
      <w:outline w:val="0"/>
      <w:color w:val="0000FF"/>
      <w:u w:val="single" w:color="0000FF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styleId="Revisione">
    <w:name w:val="Revision"/>
    <w:hidden/>
    <w:uiPriority w:val="99"/>
    <w:semiHidden/>
    <w:rsid w:val="00866A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Paoluzzi Cristiano</dc:creator>
  <cp:lastModifiedBy>Bisello Stefano</cp:lastModifiedBy>
  <cp:revision>33</cp:revision>
  <dcterms:created xsi:type="dcterms:W3CDTF">2023-05-22T07:14:00Z</dcterms:created>
  <dcterms:modified xsi:type="dcterms:W3CDTF">2024-01-10T13:31:00Z</dcterms:modified>
</cp:coreProperties>
</file>