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1F83" w14:textId="652ED853" w:rsidR="00000937" w:rsidRPr="00BA0DB3" w:rsidRDefault="00000937" w:rsidP="00BA0DB3">
      <w:pPr>
        <w:pStyle w:val="Titolo1"/>
        <w:spacing w:before="0" w:after="0"/>
        <w:rPr>
          <w:sz w:val="20"/>
          <w:szCs w:val="20"/>
          <w:lang w:val="en-US"/>
        </w:rPr>
      </w:pPr>
      <w:r w:rsidRPr="00BA0DB3">
        <w:rPr>
          <w:sz w:val="20"/>
          <w:szCs w:val="20"/>
          <w:lang w:val="en-US"/>
        </w:rPr>
        <w:t>Sociology of Migrations and Interethnic Relations</w:t>
      </w:r>
    </w:p>
    <w:p w14:paraId="710FAE9E" w14:textId="77777777" w:rsidR="00000937" w:rsidRPr="00BA0DB3" w:rsidRDefault="00000937" w:rsidP="00BA0DB3">
      <w:pPr>
        <w:pStyle w:val="Titolo2"/>
        <w:spacing w:before="0" w:after="0" w:line="240" w:lineRule="exact"/>
        <w:rPr>
          <w:rFonts w:ascii="Times" w:hAnsi="Times"/>
          <w:b w:val="0"/>
          <w:bCs w:val="0"/>
          <w:smallCaps/>
          <w:noProof/>
          <w:sz w:val="18"/>
          <w:szCs w:val="20"/>
          <w:lang w:val="en-US"/>
        </w:rPr>
      </w:pPr>
      <w:r w:rsidRPr="00124D1F">
        <w:rPr>
          <w:rFonts w:ascii="Times" w:hAnsi="Times"/>
          <w:b w:val="0"/>
          <w:bCs w:val="0"/>
          <w:smallCaps/>
          <w:noProof/>
          <w:sz w:val="18"/>
          <w:szCs w:val="20"/>
          <w:lang w:val="en-US"/>
        </w:rPr>
        <w:t xml:space="preserve">Prof. </w:t>
      </w:r>
      <w:r w:rsidRPr="00BA0DB3">
        <w:rPr>
          <w:rFonts w:ascii="Times" w:hAnsi="Times"/>
          <w:b w:val="0"/>
          <w:bCs w:val="0"/>
          <w:smallCaps/>
          <w:noProof/>
          <w:sz w:val="18"/>
          <w:szCs w:val="20"/>
          <w:lang w:val="en-US"/>
        </w:rPr>
        <w:t>Laura Zanfrini</w:t>
      </w:r>
    </w:p>
    <w:p w14:paraId="01AACEED" w14:textId="77777777" w:rsidR="0043570F" w:rsidRPr="0043570F" w:rsidRDefault="0043570F" w:rsidP="0043570F">
      <w:pPr>
        <w:spacing w:before="240" w:after="120" w:line="240" w:lineRule="auto"/>
        <w:rPr>
          <w:rFonts w:ascii="Times New Roman" w:eastAsia="Times New Roman" w:hAnsi="Times New Roman"/>
          <w:b/>
          <w:bCs/>
          <w:i/>
          <w:iCs/>
          <w:color w:val="111111"/>
          <w:sz w:val="18"/>
          <w:lang w:val="en-US" w:eastAsia="it-IT"/>
        </w:rPr>
      </w:pPr>
      <w:r w:rsidRPr="0043570F">
        <w:rPr>
          <w:rFonts w:ascii="Times New Roman" w:eastAsia="Times New Roman" w:hAnsi="Times New Roman"/>
          <w:b/>
          <w:bCs/>
          <w:i/>
          <w:iCs/>
          <w:color w:val="111111"/>
          <w:sz w:val="18"/>
          <w:lang w:val="en-US" w:eastAsia="it-IT"/>
        </w:rPr>
        <w:t xml:space="preserve">COURSE AIMS AND INTENDED LEARNING OUTCOMES </w:t>
      </w:r>
    </w:p>
    <w:p w14:paraId="10D10064" w14:textId="77777777" w:rsidR="00287D03" w:rsidRPr="00287D03" w:rsidRDefault="00287D03" w:rsidP="00287D03">
      <w:pPr>
        <w:spacing w:before="120" w:line="240" w:lineRule="auto"/>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aim of the course is to provide the basic theoretical and conceptual instruments required for studying migrations and interethnic relations, and to analyse selected topical issues and matters in contemporary Italy, Europe and at international level.</w:t>
      </w:r>
    </w:p>
    <w:p w14:paraId="3D08A8D7" w14:textId="77777777" w:rsidR="0043570F" w:rsidRPr="0043570F" w:rsidRDefault="0043570F" w:rsidP="0043570F">
      <w:pPr>
        <w:spacing w:before="120" w:line="240" w:lineRule="auto"/>
        <w:rPr>
          <w:rFonts w:ascii="Times New Roman" w:eastAsia="Times New Roman" w:hAnsi="Times New Roman"/>
          <w:i/>
          <w:sz w:val="20"/>
          <w:lang w:val="en-GB" w:eastAsia="it-IT"/>
        </w:rPr>
      </w:pPr>
      <w:r w:rsidRPr="0043570F">
        <w:rPr>
          <w:rFonts w:ascii="Times New Roman" w:eastAsia="Times New Roman" w:hAnsi="Times New Roman"/>
          <w:i/>
          <w:sz w:val="20"/>
          <w:lang w:val="en-GB" w:eastAsia="it-IT"/>
        </w:rPr>
        <w:t>Expected learning outcomes</w:t>
      </w:r>
    </w:p>
    <w:p w14:paraId="1042068B" w14:textId="77777777" w:rsidR="0043570F" w:rsidRPr="0043570F" w:rsidRDefault="0043570F" w:rsidP="0043570F">
      <w:pPr>
        <w:spacing w:before="120" w:line="240" w:lineRule="auto"/>
        <w:rPr>
          <w:rFonts w:ascii="Times New Roman" w:eastAsia="Times New Roman" w:hAnsi="Times New Roman"/>
          <w:i/>
          <w:smallCaps/>
          <w:sz w:val="18"/>
          <w:lang w:val="en-GB" w:eastAsia="it-IT"/>
        </w:rPr>
      </w:pPr>
      <w:r w:rsidRPr="0043570F">
        <w:rPr>
          <w:rFonts w:ascii="Times New Roman" w:eastAsia="Times New Roman" w:hAnsi="Times New Roman"/>
          <w:smallCaps/>
          <w:sz w:val="18"/>
          <w:lang w:val="en-GB" w:eastAsia="it-IT"/>
        </w:rPr>
        <w:t>Knowledge and understanding</w:t>
      </w:r>
    </w:p>
    <w:p w14:paraId="5001AC15" w14:textId="77777777" w:rsidR="00287D03" w:rsidRPr="00287D03" w:rsidRDefault="00287D03" w:rsidP="00287D03">
      <w:pPr>
        <w:spacing w:before="120"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At the end of the course, the students will have acquired the knowledge and understanding of:</w:t>
      </w:r>
    </w:p>
    <w:p w14:paraId="6B337433" w14:textId="77777777" w:rsidR="00A76D33" w:rsidRDefault="00A76D33" w:rsidP="00A76D33">
      <w:pPr>
        <w:numPr>
          <w:ilvl w:val="0"/>
          <w:numId w:val="12"/>
        </w:numPr>
        <w:spacing w:line="240" w:lineRule="auto"/>
        <w:rPr>
          <w:rFonts w:ascii="Times New Roman" w:eastAsia="Times New Roman" w:hAnsi="Times New Roman"/>
          <w:sz w:val="20"/>
          <w:lang w:val="en-GB" w:eastAsia="it-IT"/>
        </w:rPr>
      </w:pPr>
      <w:r w:rsidRPr="00A76D33">
        <w:rPr>
          <w:rFonts w:ascii="Times New Roman" w:eastAsia="Times New Roman" w:hAnsi="Times New Roman"/>
          <w:sz w:val="20"/>
          <w:lang w:val="en-GB" w:eastAsia="it-IT"/>
        </w:rPr>
        <w:t>The main concepts for the analysis of migration and integration processes and related policies</w:t>
      </w:r>
    </w:p>
    <w:p w14:paraId="2FFDA8D0" w14:textId="77777777" w:rsidR="00287D03" w:rsidRPr="00A76D33" w:rsidRDefault="00287D03" w:rsidP="00A76D33">
      <w:pPr>
        <w:numPr>
          <w:ilvl w:val="0"/>
          <w:numId w:val="12"/>
        </w:numPr>
        <w:spacing w:line="240" w:lineRule="auto"/>
        <w:rPr>
          <w:rFonts w:ascii="Times New Roman" w:eastAsia="Times New Roman" w:hAnsi="Times New Roman"/>
          <w:sz w:val="20"/>
          <w:lang w:val="en-GB" w:eastAsia="it-IT"/>
        </w:rPr>
      </w:pPr>
      <w:r w:rsidRPr="00A76D33">
        <w:rPr>
          <w:rFonts w:ascii="Times New Roman" w:eastAsia="Times New Roman" w:hAnsi="Times New Roman"/>
          <w:sz w:val="20"/>
          <w:lang w:val="en-GB" w:eastAsia="it-IT"/>
        </w:rPr>
        <w:t>The main features of human mobility in the contemporary age, with particular regard to flows directed towards Europe and Italy</w:t>
      </w:r>
    </w:p>
    <w:p w14:paraId="3141F6C6" w14:textId="76F6871F" w:rsidR="00287D03" w:rsidRPr="00287D03" w:rsidRDefault="00287D03" w:rsidP="00A76D33">
      <w:pPr>
        <w:numPr>
          <w:ilvl w:val="0"/>
          <w:numId w:val="12"/>
        </w:numPr>
        <w:spacing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 xml:space="preserve">The main features </w:t>
      </w:r>
      <w:r w:rsidR="007B0DEE">
        <w:rPr>
          <w:rFonts w:ascii="Times New Roman" w:eastAsia="Times New Roman" w:hAnsi="Times New Roman"/>
          <w:sz w:val="20"/>
          <w:lang w:val="en-GB" w:eastAsia="it-IT"/>
        </w:rPr>
        <w:t xml:space="preserve">the </w:t>
      </w:r>
      <w:r w:rsidRPr="00287D03">
        <w:rPr>
          <w:rFonts w:ascii="Times New Roman" w:eastAsia="Times New Roman" w:hAnsi="Times New Roman"/>
          <w:sz w:val="20"/>
          <w:lang w:val="en-GB" w:eastAsia="it-IT"/>
        </w:rPr>
        <w:t>immigra</w:t>
      </w:r>
      <w:r w:rsidR="007B0DEE">
        <w:rPr>
          <w:rFonts w:ascii="Times New Roman" w:eastAsia="Times New Roman" w:hAnsi="Times New Roman"/>
          <w:sz w:val="20"/>
          <w:lang w:val="en-GB" w:eastAsia="it-IT"/>
        </w:rPr>
        <w:t>nt population</w:t>
      </w:r>
      <w:r w:rsidRPr="00287D03">
        <w:rPr>
          <w:rFonts w:ascii="Times New Roman" w:eastAsia="Times New Roman" w:hAnsi="Times New Roman"/>
          <w:sz w:val="20"/>
          <w:lang w:val="en-GB" w:eastAsia="it-IT"/>
        </w:rPr>
        <w:t xml:space="preserve"> in Europe and in Italy and their evolution from the post-war period to today</w:t>
      </w:r>
    </w:p>
    <w:p w14:paraId="4AA4E125" w14:textId="77777777" w:rsidR="00287D03" w:rsidRPr="00287D03" w:rsidRDefault="00287D03" w:rsidP="00A76D33">
      <w:pPr>
        <w:numPr>
          <w:ilvl w:val="0"/>
          <w:numId w:val="12"/>
        </w:numPr>
        <w:spacing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The main theories developed by the social sciences for the understanding of migration processes, integration processes and interethnic coexistence</w:t>
      </w:r>
    </w:p>
    <w:p w14:paraId="325E32C4" w14:textId="77777777" w:rsidR="00287D03" w:rsidRPr="00287D03" w:rsidRDefault="00287D03" w:rsidP="00A76D33">
      <w:pPr>
        <w:numPr>
          <w:ilvl w:val="0"/>
          <w:numId w:val="12"/>
        </w:numPr>
        <w:spacing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The main themes that animate the political and social debate around migratory processes and the processes of integration and inter-ethnic coexistence</w:t>
      </w:r>
    </w:p>
    <w:p w14:paraId="62CE5960" w14:textId="77777777" w:rsidR="0043570F" w:rsidRPr="0043570F" w:rsidRDefault="0043570F" w:rsidP="0043570F">
      <w:pPr>
        <w:spacing w:before="120" w:line="240" w:lineRule="auto"/>
        <w:rPr>
          <w:rFonts w:ascii="Times New Roman" w:eastAsia="Times New Roman" w:hAnsi="Times New Roman"/>
          <w:smallCaps/>
          <w:sz w:val="18"/>
          <w:lang w:val="en-GB" w:eastAsia="it-IT"/>
        </w:rPr>
      </w:pPr>
      <w:r w:rsidRPr="0043570F">
        <w:rPr>
          <w:rFonts w:ascii="Times New Roman" w:eastAsia="Times New Roman" w:hAnsi="Times New Roman"/>
          <w:smallCaps/>
          <w:sz w:val="18"/>
          <w:lang w:val="en-GB" w:eastAsia="it-IT"/>
        </w:rPr>
        <w:t>Ability to apply knowledge and understanding</w:t>
      </w:r>
    </w:p>
    <w:p w14:paraId="21479F5A" w14:textId="77777777" w:rsidR="00287D03" w:rsidRPr="00287D03" w:rsidRDefault="00287D03" w:rsidP="002173C2">
      <w:pPr>
        <w:spacing w:before="120"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At the end of the course the students will have acquired the following application skills:</w:t>
      </w:r>
    </w:p>
    <w:p w14:paraId="53B9139D" w14:textId="77777777" w:rsidR="00287D03" w:rsidRPr="00287D03" w:rsidRDefault="00287D03" w:rsidP="00287D03">
      <w:pPr>
        <w:numPr>
          <w:ilvl w:val="0"/>
          <w:numId w:val="8"/>
        </w:numPr>
        <w:spacing w:line="240" w:lineRule="auto"/>
        <w:ind w:left="426"/>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Consciously use the main sources of data and information on migratory phenomena</w:t>
      </w:r>
    </w:p>
    <w:p w14:paraId="7E3258A8" w14:textId="77777777" w:rsidR="00287D03" w:rsidRPr="00287D03" w:rsidRDefault="00287D03" w:rsidP="00287D03">
      <w:pPr>
        <w:numPr>
          <w:ilvl w:val="0"/>
          <w:numId w:val="8"/>
        </w:numPr>
        <w:spacing w:line="240" w:lineRule="auto"/>
        <w:ind w:left="426"/>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Apply the theories and concepts referred to in the previous point to specific historical-geographical situations</w:t>
      </w:r>
    </w:p>
    <w:p w14:paraId="6C801113" w14:textId="77777777" w:rsidR="00287D03" w:rsidRPr="00287D03" w:rsidRDefault="00A76D33" w:rsidP="00287D03">
      <w:pPr>
        <w:numPr>
          <w:ilvl w:val="0"/>
          <w:numId w:val="8"/>
        </w:numPr>
        <w:spacing w:line="240" w:lineRule="auto"/>
        <w:ind w:left="426"/>
        <w:rPr>
          <w:rFonts w:ascii="Times New Roman" w:eastAsia="Times New Roman" w:hAnsi="Times New Roman"/>
          <w:sz w:val="20"/>
          <w:lang w:val="en-GB" w:eastAsia="it-IT"/>
        </w:rPr>
      </w:pPr>
      <w:r>
        <w:rPr>
          <w:rFonts w:ascii="Times New Roman" w:eastAsia="Times New Roman" w:hAnsi="Times New Roman"/>
          <w:sz w:val="20"/>
          <w:lang w:val="en-GB" w:eastAsia="it-IT"/>
        </w:rPr>
        <w:t>Critically analys</w:t>
      </w:r>
      <w:r w:rsidR="00287D03" w:rsidRPr="00287D03">
        <w:rPr>
          <w:rFonts w:ascii="Times New Roman" w:eastAsia="Times New Roman" w:hAnsi="Times New Roman"/>
          <w:sz w:val="20"/>
          <w:lang w:val="en-GB" w:eastAsia="it-IT"/>
        </w:rPr>
        <w:t>e the issues and problems that animate the public debate on migration processes and integration processes and provide indications for the design of policies and interventions</w:t>
      </w:r>
    </w:p>
    <w:p w14:paraId="081C0369" w14:textId="52926DCA" w:rsidR="00287D03" w:rsidRPr="00287D03" w:rsidRDefault="007B0DEE" w:rsidP="00287D03">
      <w:pPr>
        <w:numPr>
          <w:ilvl w:val="0"/>
          <w:numId w:val="8"/>
        </w:numPr>
        <w:spacing w:line="240" w:lineRule="auto"/>
        <w:ind w:left="426"/>
        <w:rPr>
          <w:rFonts w:ascii="Times New Roman" w:eastAsia="Times New Roman" w:hAnsi="Times New Roman"/>
          <w:sz w:val="20"/>
          <w:lang w:val="en-GB" w:eastAsia="it-IT"/>
        </w:rPr>
      </w:pPr>
      <w:r>
        <w:rPr>
          <w:rFonts w:ascii="Times New Roman" w:eastAsia="Times New Roman" w:hAnsi="Times New Roman"/>
          <w:sz w:val="20"/>
          <w:lang w:val="en-GB" w:eastAsia="it-IT"/>
        </w:rPr>
        <w:t>Design</w:t>
      </w:r>
      <w:r w:rsidR="00A76D33">
        <w:rPr>
          <w:rFonts w:ascii="Times New Roman" w:eastAsia="Times New Roman" w:hAnsi="Times New Roman"/>
          <w:sz w:val="20"/>
          <w:lang w:val="en-GB" w:eastAsia="it-IT"/>
        </w:rPr>
        <w:t xml:space="preserve"> intervention</w:t>
      </w:r>
      <w:r w:rsidR="00287D03" w:rsidRPr="00287D03">
        <w:rPr>
          <w:rFonts w:ascii="Times New Roman" w:eastAsia="Times New Roman" w:hAnsi="Times New Roman"/>
          <w:sz w:val="20"/>
          <w:lang w:val="en-GB" w:eastAsia="it-IT"/>
        </w:rPr>
        <w:t xml:space="preserve">s to be applied in the organizational action (in business, educational, associative contexts, etc.) in </w:t>
      </w:r>
      <w:r>
        <w:rPr>
          <w:rFonts w:ascii="Times New Roman" w:eastAsia="Times New Roman" w:hAnsi="Times New Roman"/>
          <w:sz w:val="20"/>
          <w:lang w:val="en-GB" w:eastAsia="it-IT"/>
        </w:rPr>
        <w:t>relation to</w:t>
      </w:r>
      <w:r w:rsidR="00287D03" w:rsidRPr="00287D03">
        <w:rPr>
          <w:rFonts w:ascii="Times New Roman" w:eastAsia="Times New Roman" w:hAnsi="Times New Roman"/>
          <w:sz w:val="20"/>
          <w:lang w:val="en-GB" w:eastAsia="it-IT"/>
        </w:rPr>
        <w:t xml:space="preserve"> specific problems/opportunities connected with the presence of multi-ethnic staff/public</w:t>
      </w:r>
    </w:p>
    <w:p w14:paraId="35BB9036" w14:textId="77777777" w:rsidR="00000937" w:rsidRPr="00BA0DB3" w:rsidRDefault="00000937" w:rsidP="00BA0DB3">
      <w:pPr>
        <w:spacing w:before="240" w:after="120" w:line="240" w:lineRule="auto"/>
        <w:rPr>
          <w:rFonts w:ascii="Times New Roman" w:eastAsia="Times New Roman" w:hAnsi="Times New Roman"/>
          <w:color w:val="111111"/>
          <w:sz w:val="18"/>
          <w:lang w:val="en-US" w:eastAsia="it-IT"/>
        </w:rPr>
      </w:pPr>
      <w:r w:rsidRPr="00BA0DB3">
        <w:rPr>
          <w:rFonts w:ascii="Times New Roman" w:eastAsia="Times New Roman" w:hAnsi="Times New Roman"/>
          <w:b/>
          <w:bCs/>
          <w:i/>
          <w:iCs/>
          <w:color w:val="111111"/>
          <w:sz w:val="18"/>
          <w:lang w:val="en-US" w:eastAsia="it-IT"/>
        </w:rPr>
        <w:t>COURSE CONTENT</w:t>
      </w:r>
    </w:p>
    <w:p w14:paraId="779842E0" w14:textId="77777777" w:rsidR="00287D03" w:rsidRPr="00287D03" w:rsidRDefault="00287D03" w:rsidP="00287D03">
      <w:pPr>
        <w:spacing w:line="240" w:lineRule="auto"/>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lastRenderedPageBreak/>
        <w:t>After having presented the glossary for the study of migrations and interethnic relations, the course will focus the attention on the following topics:</w:t>
      </w:r>
    </w:p>
    <w:p w14:paraId="274A94B8" w14:textId="54A5DE5C" w:rsidR="00287D03" w:rsidRDefault="00287D03" w:rsidP="007B0DEE">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 xml:space="preserve">The </w:t>
      </w:r>
      <w:r w:rsidR="007B0DEE">
        <w:rPr>
          <w:rFonts w:ascii="Times New Roman" w:eastAsia="Times New Roman" w:hAnsi="Times New Roman"/>
          <w:color w:val="111111"/>
          <w:sz w:val="20"/>
          <w:lang w:val="en-GB" w:eastAsia="it-IT"/>
        </w:rPr>
        <w:t xml:space="preserve">process of </w:t>
      </w:r>
      <w:r w:rsidRPr="00287D03">
        <w:rPr>
          <w:rFonts w:ascii="Times New Roman" w:eastAsia="Times New Roman" w:hAnsi="Times New Roman"/>
          <w:color w:val="111111"/>
          <w:sz w:val="20"/>
          <w:lang w:val="en-GB" w:eastAsia="it-IT"/>
        </w:rPr>
        <w:t xml:space="preserve">social and institutional construction of </w:t>
      </w:r>
      <w:r w:rsidR="007B0DEE">
        <w:rPr>
          <w:rFonts w:ascii="Times New Roman" w:eastAsia="Times New Roman" w:hAnsi="Times New Roman"/>
          <w:color w:val="111111"/>
          <w:sz w:val="20"/>
          <w:lang w:val="en-GB" w:eastAsia="it-IT"/>
        </w:rPr>
        <w:t xml:space="preserve">international </w:t>
      </w:r>
      <w:r w:rsidRPr="00287D03">
        <w:rPr>
          <w:rFonts w:ascii="Times New Roman" w:eastAsia="Times New Roman" w:hAnsi="Times New Roman"/>
          <w:color w:val="111111"/>
          <w:sz w:val="20"/>
          <w:lang w:val="en-GB" w:eastAsia="it-IT"/>
        </w:rPr>
        <w:t>migrants</w:t>
      </w:r>
      <w:r w:rsidR="007B0DEE">
        <w:rPr>
          <w:rFonts w:ascii="Times New Roman" w:eastAsia="Times New Roman" w:hAnsi="Times New Roman"/>
          <w:color w:val="111111"/>
          <w:sz w:val="20"/>
          <w:lang w:val="en-GB" w:eastAsia="it-IT"/>
        </w:rPr>
        <w:t>;</w:t>
      </w:r>
    </w:p>
    <w:p w14:paraId="7A50491C" w14:textId="7E77DD32" w:rsidR="007B0DEE" w:rsidRPr="007B0DEE" w:rsidRDefault="007B0DEE" w:rsidP="007B0DEE">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typologies of migrations and the “porous” distinction between the different categories of migrants;</w:t>
      </w:r>
    </w:p>
    <w:p w14:paraId="73382EBB" w14:textId="204B20A8" w:rsid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Push and pull factors at the basis of contemporary international migrations</w:t>
      </w:r>
      <w:r w:rsidR="007B0DEE">
        <w:rPr>
          <w:rFonts w:ascii="Times New Roman" w:eastAsia="Times New Roman" w:hAnsi="Times New Roman"/>
          <w:color w:val="111111"/>
          <w:sz w:val="20"/>
          <w:lang w:val="en-GB" w:eastAsia="it-IT"/>
        </w:rPr>
        <w:t>;</w:t>
      </w:r>
    </w:p>
    <w:p w14:paraId="299A5211" w14:textId="3405004B" w:rsidR="007B0DEE" w:rsidRDefault="007B0DEE"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migration regimes and their ambivalences;</w:t>
      </w:r>
    </w:p>
    <w:p w14:paraId="79300C03" w14:textId="561F36A7" w:rsidR="007B0DEE" w:rsidRPr="00287D03" w:rsidRDefault="007B0DEE" w:rsidP="007B0DEE">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migrations for reasons of protection;</w:t>
      </w:r>
    </w:p>
    <w:p w14:paraId="3B500D63" w14:textId="02DCD3F0" w:rsidR="007B0DEE" w:rsidRDefault="007B0DEE"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integration of m</w:t>
      </w:r>
      <w:r w:rsidR="00287D03" w:rsidRPr="00287D03">
        <w:rPr>
          <w:rFonts w:ascii="Times New Roman" w:eastAsia="Times New Roman" w:hAnsi="Times New Roman"/>
          <w:color w:val="111111"/>
          <w:sz w:val="20"/>
          <w:lang w:val="en-GB" w:eastAsia="it-IT"/>
        </w:rPr>
        <w:t xml:space="preserve">igrants </w:t>
      </w:r>
      <w:r>
        <w:rPr>
          <w:rFonts w:ascii="Times New Roman" w:eastAsia="Times New Roman" w:hAnsi="Times New Roman"/>
          <w:color w:val="111111"/>
          <w:sz w:val="20"/>
          <w:lang w:val="en-GB" w:eastAsia="it-IT"/>
        </w:rPr>
        <w:t>in the hosting society;</w:t>
      </w:r>
    </w:p>
    <w:p w14:paraId="534E381E" w14:textId="4C71FB97" w:rsidR="00287D03" w:rsidRPr="007B0DEE" w:rsidRDefault="007B0DEE" w:rsidP="007B0DEE">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7B0DEE">
        <w:rPr>
          <w:rFonts w:ascii="Times New Roman" w:eastAsia="Times New Roman" w:hAnsi="Times New Roman"/>
          <w:color w:val="111111"/>
          <w:sz w:val="20"/>
          <w:lang w:val="en-GB" w:eastAsia="it-IT"/>
        </w:rPr>
        <w:t>The citizenship regimes and the m</w:t>
      </w:r>
      <w:r w:rsidR="00287D03" w:rsidRPr="007B0DEE">
        <w:rPr>
          <w:rFonts w:ascii="Times New Roman" w:eastAsia="Times New Roman" w:hAnsi="Times New Roman"/>
          <w:color w:val="111111"/>
          <w:sz w:val="20"/>
          <w:lang w:val="en-GB" w:eastAsia="it-IT"/>
        </w:rPr>
        <w:t xml:space="preserve">anagement of </w:t>
      </w:r>
      <w:r>
        <w:rPr>
          <w:rFonts w:ascii="Times New Roman" w:eastAsia="Times New Roman" w:hAnsi="Times New Roman"/>
          <w:color w:val="111111"/>
          <w:sz w:val="20"/>
          <w:lang w:val="en-GB" w:eastAsia="it-IT"/>
        </w:rPr>
        <w:t>interethnic relations;</w:t>
      </w:r>
    </w:p>
    <w:p w14:paraId="7ACBC1BE" w14:textId="63EDA273" w:rsidR="00287D03" w:rsidRPr="00287D03" w:rsidRDefault="007B0DEE"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f</w:t>
      </w:r>
      <w:r w:rsidR="00287D03" w:rsidRPr="00287D03">
        <w:rPr>
          <w:rFonts w:ascii="Times New Roman" w:eastAsia="Times New Roman" w:hAnsi="Times New Roman"/>
          <w:color w:val="111111"/>
          <w:sz w:val="20"/>
          <w:lang w:val="en-GB" w:eastAsia="it-IT"/>
        </w:rPr>
        <w:t>amily’s role in the migratory processes</w:t>
      </w:r>
      <w:r>
        <w:rPr>
          <w:rFonts w:ascii="Times New Roman" w:eastAsia="Times New Roman" w:hAnsi="Times New Roman"/>
          <w:color w:val="111111"/>
          <w:sz w:val="20"/>
          <w:lang w:val="en-GB" w:eastAsia="it-IT"/>
        </w:rPr>
        <w:t>;</w:t>
      </w:r>
    </w:p>
    <w:p w14:paraId="75D496F9" w14:textId="23CD2DF6" w:rsidR="00287D03" w:rsidRDefault="007B0DEE"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m</w:t>
      </w:r>
      <w:r w:rsidR="00287D03" w:rsidRPr="00287D03">
        <w:rPr>
          <w:rFonts w:ascii="Times New Roman" w:eastAsia="Times New Roman" w:hAnsi="Times New Roman"/>
          <w:color w:val="111111"/>
          <w:sz w:val="20"/>
          <w:lang w:val="en-GB" w:eastAsia="it-IT"/>
        </w:rPr>
        <w:t xml:space="preserve">igrants’ offspring and </w:t>
      </w:r>
      <w:r>
        <w:rPr>
          <w:rFonts w:ascii="Times New Roman" w:eastAsia="Times New Roman" w:hAnsi="Times New Roman"/>
          <w:color w:val="111111"/>
          <w:sz w:val="20"/>
          <w:lang w:val="en-GB" w:eastAsia="it-IT"/>
        </w:rPr>
        <w:t xml:space="preserve">the </w:t>
      </w:r>
      <w:r w:rsidR="00287D03" w:rsidRPr="00287D03">
        <w:rPr>
          <w:rFonts w:ascii="Times New Roman" w:eastAsia="Times New Roman" w:hAnsi="Times New Roman"/>
          <w:color w:val="111111"/>
          <w:sz w:val="20"/>
          <w:lang w:val="en-GB" w:eastAsia="it-IT"/>
        </w:rPr>
        <w:t>second generations issue</w:t>
      </w:r>
      <w:r>
        <w:rPr>
          <w:rFonts w:ascii="Times New Roman" w:eastAsia="Times New Roman" w:hAnsi="Times New Roman"/>
          <w:color w:val="111111"/>
          <w:sz w:val="20"/>
          <w:lang w:val="en-GB" w:eastAsia="it-IT"/>
        </w:rPr>
        <w:t>;</w:t>
      </w:r>
    </w:p>
    <w:p w14:paraId="0C3F07EB" w14:textId="7CA337F2" w:rsidR="007B0DEE" w:rsidRPr="00287D03" w:rsidRDefault="007B0DEE"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European Agenda for integration and the intercultural approach.</w:t>
      </w:r>
    </w:p>
    <w:p w14:paraId="77B0BF85" w14:textId="6B1623E0" w:rsidR="00287D03" w:rsidRDefault="00287D03" w:rsidP="00287D03">
      <w:pPr>
        <w:spacing w:before="120" w:line="240" w:lineRule="auto"/>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Besides this first part, common to the course of “Sociology of Interethnic Relations”, the course of “Sociology of Migrations and Interethnic Relation</w:t>
      </w:r>
      <w:r w:rsidR="00A76D33">
        <w:rPr>
          <w:rFonts w:ascii="Times New Roman" w:eastAsia="Times New Roman" w:hAnsi="Times New Roman"/>
          <w:color w:val="111111"/>
          <w:sz w:val="20"/>
          <w:lang w:val="en-GB" w:eastAsia="it-IT"/>
        </w:rPr>
        <w:t xml:space="preserve">s” will analyse other </w:t>
      </w:r>
      <w:r w:rsidRPr="00287D03">
        <w:rPr>
          <w:rFonts w:ascii="Times New Roman" w:eastAsia="Times New Roman" w:hAnsi="Times New Roman"/>
          <w:color w:val="111111"/>
          <w:sz w:val="20"/>
          <w:lang w:val="en-GB" w:eastAsia="it-IT"/>
        </w:rPr>
        <w:t>topics</w:t>
      </w:r>
      <w:r w:rsidR="00A76D33">
        <w:rPr>
          <w:rFonts w:ascii="Times New Roman" w:eastAsia="Times New Roman" w:hAnsi="Times New Roman"/>
          <w:color w:val="111111"/>
          <w:sz w:val="20"/>
          <w:lang w:val="en-GB" w:eastAsia="it-IT"/>
        </w:rPr>
        <w:t xml:space="preserve"> such as</w:t>
      </w:r>
      <w:r w:rsidRPr="00287D03">
        <w:rPr>
          <w:rFonts w:ascii="Times New Roman" w:eastAsia="Times New Roman" w:hAnsi="Times New Roman"/>
          <w:color w:val="111111"/>
          <w:sz w:val="20"/>
          <w:lang w:val="en-GB" w:eastAsia="it-IT"/>
        </w:rPr>
        <w:t>:</w:t>
      </w:r>
    </w:p>
    <w:p w14:paraId="766A326A" w14:textId="18017EA0" w:rsidR="00CC6A7B" w:rsidRPr="00CC6A7B" w:rsidRDefault="00CC6A7B" w:rsidP="00CC6A7B">
      <w:pPr>
        <w:numPr>
          <w:ilvl w:val="0"/>
          <w:numId w:val="4"/>
        </w:numPr>
        <w:spacing w:line="240" w:lineRule="auto"/>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w:t>
      </w:r>
      <w:r w:rsidRPr="00CC6A7B">
        <w:rPr>
          <w:rFonts w:ascii="Times New Roman" w:eastAsia="Times New Roman" w:hAnsi="Times New Roman"/>
          <w:color w:val="111111"/>
          <w:sz w:val="20"/>
          <w:lang w:val="en-GB" w:eastAsia="it-IT"/>
        </w:rPr>
        <w:t xml:space="preserve">he integration of migrants into the </w:t>
      </w:r>
      <w:proofErr w:type="spellStart"/>
      <w:r w:rsidRPr="00CC6A7B">
        <w:rPr>
          <w:rFonts w:ascii="Times New Roman" w:eastAsia="Times New Roman" w:hAnsi="Times New Roman"/>
          <w:color w:val="111111"/>
          <w:sz w:val="20"/>
          <w:lang w:val="en-GB" w:eastAsia="it-IT"/>
        </w:rPr>
        <w:t>labor</w:t>
      </w:r>
      <w:proofErr w:type="spellEnd"/>
      <w:r w:rsidRPr="00CC6A7B">
        <w:rPr>
          <w:rFonts w:ascii="Times New Roman" w:eastAsia="Times New Roman" w:hAnsi="Times New Roman"/>
          <w:color w:val="111111"/>
          <w:sz w:val="20"/>
          <w:lang w:val="en-GB" w:eastAsia="it-IT"/>
        </w:rPr>
        <w:t xml:space="preserve"> market and the intercultural management of human resources (notes on Diversity Management);</w:t>
      </w:r>
    </w:p>
    <w:p w14:paraId="631D08E3" w14:textId="0A33B964" w:rsidR="00CC6A7B" w:rsidRPr="00CC6A7B" w:rsidRDefault="00CC6A7B" w:rsidP="00CC6A7B">
      <w:pPr>
        <w:numPr>
          <w:ilvl w:val="0"/>
          <w:numId w:val="4"/>
        </w:numPr>
        <w:spacing w:line="240" w:lineRule="auto"/>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I</w:t>
      </w:r>
      <w:r w:rsidRPr="00CC6A7B">
        <w:rPr>
          <w:rFonts w:ascii="Times New Roman" w:eastAsia="Times New Roman" w:hAnsi="Times New Roman"/>
          <w:color w:val="111111"/>
          <w:sz w:val="20"/>
          <w:lang w:val="en-GB" w:eastAsia="it-IT"/>
        </w:rPr>
        <w:t>ntercultural skills and their enhancement in life and work contexts;</w:t>
      </w:r>
    </w:p>
    <w:p w14:paraId="6BEADA62" w14:textId="312B9960" w:rsidR="00CC6A7B" w:rsidRPr="00CC6A7B" w:rsidRDefault="00CC6A7B" w:rsidP="00CC6A7B">
      <w:pPr>
        <w:numPr>
          <w:ilvl w:val="0"/>
          <w:numId w:val="4"/>
        </w:numPr>
        <w:spacing w:line="240" w:lineRule="auto"/>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w:t>
      </w:r>
      <w:r w:rsidRPr="00CC6A7B">
        <w:rPr>
          <w:rFonts w:ascii="Times New Roman" w:eastAsia="Times New Roman" w:hAnsi="Times New Roman"/>
          <w:color w:val="111111"/>
          <w:sz w:val="20"/>
          <w:lang w:val="en-GB" w:eastAsia="it-IT"/>
        </w:rPr>
        <w:t>he religious dimension in migratory processes and in the paths of integration;</w:t>
      </w:r>
    </w:p>
    <w:p w14:paraId="331BCF3A" w14:textId="2C425E0F" w:rsidR="00287D03" w:rsidRPr="00EA53B5" w:rsidRDefault="00CC6A7B" w:rsidP="00CC6A7B">
      <w:pPr>
        <w:numPr>
          <w:ilvl w:val="0"/>
          <w:numId w:val="4"/>
        </w:numPr>
        <w:spacing w:line="240" w:lineRule="auto"/>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w:t>
      </w:r>
      <w:r w:rsidRPr="00CC6A7B">
        <w:rPr>
          <w:rFonts w:ascii="Times New Roman" w:eastAsia="Times New Roman" w:hAnsi="Times New Roman"/>
          <w:color w:val="111111"/>
          <w:sz w:val="20"/>
          <w:lang w:val="en-GB" w:eastAsia="it-IT"/>
        </w:rPr>
        <w:t>he role of communication and cultural promotion.</w:t>
      </w:r>
    </w:p>
    <w:p w14:paraId="4CE9BFEF" w14:textId="77777777" w:rsidR="00000937" w:rsidRPr="00124D1F" w:rsidRDefault="00000937" w:rsidP="005F310C">
      <w:pPr>
        <w:spacing w:before="240" w:after="120" w:line="240" w:lineRule="auto"/>
        <w:rPr>
          <w:rFonts w:ascii="Times New Roman" w:eastAsia="Times New Roman" w:hAnsi="Times New Roman"/>
          <w:color w:val="111111"/>
          <w:sz w:val="18"/>
          <w:lang w:eastAsia="it-IT"/>
        </w:rPr>
      </w:pPr>
      <w:r w:rsidRPr="00124D1F">
        <w:rPr>
          <w:rFonts w:ascii="Times New Roman" w:eastAsia="Times New Roman" w:hAnsi="Times New Roman"/>
          <w:b/>
          <w:bCs/>
          <w:i/>
          <w:iCs/>
          <w:color w:val="111111"/>
          <w:sz w:val="18"/>
          <w:lang w:eastAsia="it-IT"/>
        </w:rPr>
        <w:t>READING LIST</w:t>
      </w:r>
    </w:p>
    <w:p w14:paraId="3E7501D3" w14:textId="77777777" w:rsidR="00287D03" w:rsidRPr="00287D03" w:rsidRDefault="00287D03" w:rsidP="00287D03">
      <w:pPr>
        <w:numPr>
          <w:ilvl w:val="1"/>
          <w:numId w:val="11"/>
        </w:numPr>
        <w:spacing w:line="220" w:lineRule="atLeast"/>
        <w:ind w:left="567"/>
        <w:rPr>
          <w:rFonts w:ascii="Times New Roman" w:eastAsia="Times New Roman" w:hAnsi="Times New Roman"/>
          <w:color w:val="111111"/>
          <w:spacing w:val="-5"/>
          <w:sz w:val="18"/>
          <w:lang w:eastAsia="it-IT"/>
        </w:rPr>
      </w:pPr>
      <w:r w:rsidRPr="00EA53B5">
        <w:rPr>
          <w:rFonts w:ascii="Times New Roman" w:eastAsia="Times New Roman" w:hAnsi="Times New Roman"/>
          <w:smallCaps/>
          <w:color w:val="111111"/>
          <w:spacing w:val="-5"/>
          <w:sz w:val="16"/>
          <w:lang w:eastAsia="it-IT"/>
        </w:rPr>
        <w:t>L. Zanfrini</w:t>
      </w:r>
      <w:r w:rsidRPr="00287D03">
        <w:rPr>
          <w:rFonts w:ascii="Times New Roman" w:eastAsia="Times New Roman" w:hAnsi="Times New Roman"/>
          <w:color w:val="111111"/>
          <w:spacing w:val="-5"/>
          <w:sz w:val="18"/>
          <w:lang w:eastAsia="it-IT"/>
        </w:rPr>
        <w:t>,</w:t>
      </w:r>
      <w:r w:rsidRPr="00287D03">
        <w:rPr>
          <w:rFonts w:ascii="Times New Roman" w:eastAsia="Times New Roman" w:hAnsi="Times New Roman"/>
          <w:i/>
          <w:iCs/>
          <w:color w:val="111111"/>
          <w:spacing w:val="-5"/>
          <w:sz w:val="18"/>
          <w:lang w:eastAsia="it-IT"/>
        </w:rPr>
        <w:t xml:space="preserve"> Introduzione alla sociologia delle migrazioni,</w:t>
      </w:r>
      <w:r w:rsidRPr="00287D03">
        <w:rPr>
          <w:rFonts w:ascii="Times New Roman" w:eastAsia="Times New Roman" w:hAnsi="Times New Roman"/>
          <w:color w:val="111111"/>
          <w:spacing w:val="-5"/>
          <w:sz w:val="18"/>
          <w:lang w:eastAsia="it-IT"/>
        </w:rPr>
        <w:t xml:space="preserve"> Laterza, Rome-Bari, 2016.</w:t>
      </w:r>
    </w:p>
    <w:p w14:paraId="29D3D8DD" w14:textId="77777777" w:rsidR="00287D03" w:rsidRPr="00287D03" w:rsidRDefault="00287D03" w:rsidP="00287D03">
      <w:pPr>
        <w:numPr>
          <w:ilvl w:val="1"/>
          <w:numId w:val="11"/>
        </w:numPr>
        <w:spacing w:line="220" w:lineRule="atLeast"/>
        <w:ind w:left="567"/>
        <w:rPr>
          <w:rFonts w:ascii="Times New Roman" w:eastAsia="Times New Roman" w:hAnsi="Times New Roman"/>
          <w:color w:val="111111"/>
          <w:spacing w:val="-5"/>
          <w:sz w:val="18"/>
          <w:lang w:val="en-GB" w:eastAsia="it-IT"/>
        </w:rPr>
      </w:pPr>
      <w:r w:rsidRPr="00EA53B5">
        <w:rPr>
          <w:rFonts w:ascii="Times New Roman" w:eastAsia="Times New Roman" w:hAnsi="Times New Roman"/>
          <w:smallCaps/>
          <w:color w:val="111111"/>
          <w:spacing w:val="-5"/>
          <w:sz w:val="16"/>
          <w:lang w:val="en-GB" w:eastAsia="it-IT"/>
        </w:rPr>
        <w:t>L. Zanfrini</w:t>
      </w:r>
      <w:r w:rsidRPr="00287D03">
        <w:rPr>
          <w:rFonts w:ascii="Times New Roman" w:eastAsia="Times New Roman" w:hAnsi="Times New Roman"/>
          <w:smallCaps/>
          <w:color w:val="111111"/>
          <w:spacing w:val="-5"/>
          <w:sz w:val="18"/>
          <w:lang w:val="en-GB" w:eastAsia="it-IT"/>
        </w:rPr>
        <w:t xml:space="preserve">, </w:t>
      </w:r>
      <w:r w:rsidRPr="00287D03">
        <w:rPr>
          <w:rFonts w:ascii="Times New Roman" w:eastAsia="Times New Roman" w:hAnsi="Times New Roman"/>
          <w:i/>
          <w:color w:val="111111"/>
          <w:spacing w:val="-5"/>
          <w:sz w:val="18"/>
          <w:lang w:val="en-GB" w:eastAsia="it-IT"/>
        </w:rPr>
        <w:t>The Challenge of Migration in a Janus-Faced Europe</w:t>
      </w:r>
      <w:r w:rsidRPr="00287D03">
        <w:rPr>
          <w:rFonts w:ascii="Times New Roman" w:eastAsia="Times New Roman" w:hAnsi="Times New Roman"/>
          <w:color w:val="111111"/>
          <w:spacing w:val="-5"/>
          <w:sz w:val="18"/>
          <w:lang w:val="en-GB" w:eastAsia="it-IT"/>
        </w:rPr>
        <w:t>, Palgrave, London, 2019.</w:t>
      </w:r>
    </w:p>
    <w:p w14:paraId="3F336EA0" w14:textId="77777777" w:rsidR="00287D03" w:rsidRPr="00287D03" w:rsidRDefault="00287D03" w:rsidP="00287D03">
      <w:pPr>
        <w:numPr>
          <w:ilvl w:val="1"/>
          <w:numId w:val="11"/>
        </w:numPr>
        <w:spacing w:line="220" w:lineRule="atLeast"/>
        <w:ind w:left="567"/>
        <w:rPr>
          <w:rFonts w:ascii="Times New Roman" w:eastAsia="Times New Roman" w:hAnsi="Times New Roman"/>
          <w:color w:val="111111"/>
          <w:spacing w:val="-5"/>
          <w:sz w:val="18"/>
          <w:lang w:val="en-GB" w:eastAsia="it-IT"/>
        </w:rPr>
      </w:pPr>
      <w:r w:rsidRPr="00287D03">
        <w:rPr>
          <w:rFonts w:ascii="Times New Roman" w:eastAsia="Times New Roman" w:hAnsi="Times New Roman"/>
          <w:color w:val="111111"/>
          <w:spacing w:val="-5"/>
          <w:sz w:val="18"/>
          <w:lang w:val="en-GB" w:eastAsia="it-IT"/>
        </w:rPr>
        <w:t xml:space="preserve">Materials provided or recommended in the platform </w:t>
      </w:r>
      <w:r w:rsidRPr="00287D03">
        <w:rPr>
          <w:rFonts w:ascii="Times New Roman" w:eastAsia="Times New Roman" w:hAnsi="Times New Roman"/>
          <w:i/>
          <w:iCs/>
          <w:color w:val="111111"/>
          <w:spacing w:val="-5"/>
          <w:sz w:val="18"/>
          <w:lang w:val="en-GB" w:eastAsia="it-IT"/>
        </w:rPr>
        <w:t>Blackboard</w:t>
      </w:r>
      <w:r w:rsidRPr="00287D03">
        <w:rPr>
          <w:rFonts w:ascii="Times New Roman" w:eastAsia="Times New Roman" w:hAnsi="Times New Roman"/>
          <w:color w:val="111111"/>
          <w:spacing w:val="-5"/>
          <w:sz w:val="18"/>
          <w:lang w:val="en-GB" w:eastAsia="it-IT"/>
        </w:rPr>
        <w:t>.</w:t>
      </w:r>
    </w:p>
    <w:p w14:paraId="3327CFE2" w14:textId="77777777" w:rsidR="00000937" w:rsidRPr="00BA0DB3" w:rsidRDefault="00000937" w:rsidP="00287D03">
      <w:pPr>
        <w:tabs>
          <w:tab w:val="left" w:pos="3654"/>
        </w:tabs>
        <w:spacing w:before="240" w:after="120" w:line="220" w:lineRule="atLeast"/>
        <w:rPr>
          <w:rFonts w:ascii="Times New Roman" w:eastAsia="Times New Roman" w:hAnsi="Times New Roman"/>
          <w:color w:val="111111"/>
          <w:sz w:val="18"/>
          <w:lang w:val="en-US" w:eastAsia="it-IT"/>
        </w:rPr>
      </w:pPr>
      <w:r w:rsidRPr="00BA0DB3">
        <w:rPr>
          <w:rFonts w:ascii="Times New Roman" w:eastAsia="Times New Roman" w:hAnsi="Times New Roman"/>
          <w:b/>
          <w:bCs/>
          <w:i/>
          <w:iCs/>
          <w:color w:val="111111"/>
          <w:sz w:val="18"/>
          <w:lang w:val="en-US" w:eastAsia="it-IT"/>
        </w:rPr>
        <w:t>TEACHING METHOD</w:t>
      </w:r>
    </w:p>
    <w:p w14:paraId="195EF030" w14:textId="0C43692C" w:rsidR="00CC6A7B" w:rsidRPr="00A76D33" w:rsidRDefault="00A76D33" w:rsidP="00CC6A7B">
      <w:pPr>
        <w:spacing w:line="240" w:lineRule="auto"/>
        <w:ind w:left="567" w:hanging="283"/>
        <w:rPr>
          <w:rFonts w:ascii="Times New Roman" w:eastAsia="Times New Roman" w:hAnsi="Times New Roman"/>
          <w:bCs/>
          <w:iCs/>
          <w:color w:val="111111"/>
          <w:sz w:val="18"/>
          <w:lang w:val="en-GB" w:eastAsia="it-IT"/>
        </w:rPr>
      </w:pPr>
      <w:r w:rsidRPr="00A76D33">
        <w:rPr>
          <w:rFonts w:ascii="Times New Roman" w:eastAsia="Times New Roman" w:hAnsi="Times New Roman"/>
          <w:bCs/>
          <w:iCs/>
          <w:color w:val="111111"/>
          <w:sz w:val="18"/>
          <w:lang w:val="en-GB" w:eastAsia="it-IT"/>
        </w:rPr>
        <w:t>The course is based on lectures, possibly supported by the viewing of films and documentaries, accompanied and followed by the debate with the students present in the classroom</w:t>
      </w:r>
      <w:r w:rsidR="00CC6A7B">
        <w:rPr>
          <w:rFonts w:ascii="Times New Roman" w:eastAsia="Times New Roman" w:hAnsi="Times New Roman"/>
          <w:bCs/>
          <w:iCs/>
          <w:color w:val="111111"/>
          <w:sz w:val="18"/>
          <w:lang w:val="en-GB" w:eastAsia="it-IT"/>
        </w:rPr>
        <w:t>.</w:t>
      </w:r>
    </w:p>
    <w:p w14:paraId="7ADEE571" w14:textId="77777777" w:rsidR="00287D03" w:rsidRPr="00287D03" w:rsidRDefault="00A76D33" w:rsidP="00A76D33">
      <w:pPr>
        <w:spacing w:line="240" w:lineRule="auto"/>
        <w:ind w:left="567" w:hanging="283"/>
        <w:rPr>
          <w:rFonts w:ascii="Times New Roman" w:eastAsia="Times New Roman" w:hAnsi="Times New Roman"/>
          <w:bCs/>
          <w:iCs/>
          <w:color w:val="111111"/>
          <w:sz w:val="18"/>
          <w:lang w:val="en-GB" w:eastAsia="it-IT"/>
        </w:rPr>
      </w:pPr>
      <w:r>
        <w:rPr>
          <w:rFonts w:ascii="Times New Roman" w:eastAsia="Times New Roman" w:hAnsi="Times New Roman"/>
          <w:bCs/>
          <w:iCs/>
          <w:color w:val="111111"/>
          <w:sz w:val="18"/>
          <w:lang w:val="en-GB" w:eastAsia="it-IT"/>
        </w:rPr>
        <w:t>For a presentation</w:t>
      </w:r>
      <w:r w:rsidRPr="00A76D33">
        <w:rPr>
          <w:rFonts w:ascii="Times New Roman" w:eastAsia="Times New Roman" w:hAnsi="Times New Roman"/>
          <w:bCs/>
          <w:iCs/>
          <w:color w:val="111111"/>
          <w:sz w:val="18"/>
          <w:lang w:val="en-GB" w:eastAsia="it-IT"/>
        </w:rPr>
        <w:t xml:space="preserve"> of some aspects of the contemporary migratory scenario, intervention in the classroom or via video connection of Italian and foreign experts is envisag</w:t>
      </w:r>
      <w:r>
        <w:rPr>
          <w:rFonts w:ascii="Times New Roman" w:eastAsia="Times New Roman" w:hAnsi="Times New Roman"/>
          <w:bCs/>
          <w:iCs/>
          <w:color w:val="111111"/>
          <w:sz w:val="18"/>
          <w:lang w:val="en-GB" w:eastAsia="it-IT"/>
        </w:rPr>
        <w:t>ed</w:t>
      </w:r>
      <w:r w:rsidRPr="00A76D33">
        <w:rPr>
          <w:rFonts w:ascii="Times New Roman" w:eastAsia="Times New Roman" w:hAnsi="Times New Roman"/>
          <w:bCs/>
          <w:iCs/>
          <w:color w:val="111111"/>
          <w:sz w:val="18"/>
          <w:lang w:val="en-GB" w:eastAsia="it-IT"/>
        </w:rPr>
        <w:t>.</w:t>
      </w:r>
    </w:p>
    <w:p w14:paraId="54150880" w14:textId="77777777" w:rsidR="0043570F" w:rsidRPr="0043570F" w:rsidRDefault="0043570F" w:rsidP="0043570F">
      <w:pPr>
        <w:spacing w:before="240" w:after="120" w:line="220" w:lineRule="atLeast"/>
        <w:rPr>
          <w:rFonts w:ascii="Times New Roman" w:eastAsia="Times New Roman" w:hAnsi="Times New Roman"/>
          <w:b/>
          <w:bCs/>
          <w:i/>
          <w:iCs/>
          <w:color w:val="111111"/>
          <w:sz w:val="18"/>
          <w:lang w:val="en-US" w:eastAsia="it-IT"/>
        </w:rPr>
      </w:pPr>
      <w:r w:rsidRPr="0043570F">
        <w:rPr>
          <w:rFonts w:ascii="Times New Roman" w:eastAsia="Times New Roman" w:hAnsi="Times New Roman"/>
          <w:b/>
          <w:bCs/>
          <w:i/>
          <w:iCs/>
          <w:color w:val="111111"/>
          <w:sz w:val="18"/>
          <w:lang w:val="en-US" w:eastAsia="it-IT"/>
        </w:rPr>
        <w:t>ASSESSMENT METHOD AND CRITERIA</w:t>
      </w:r>
    </w:p>
    <w:p w14:paraId="45F3F86E" w14:textId="77777777" w:rsidR="00287D03" w:rsidRPr="00287D03" w:rsidRDefault="00287D03" w:rsidP="00287D03">
      <w:pPr>
        <w:tabs>
          <w:tab w:val="left" w:pos="284"/>
        </w:tabs>
        <w:spacing w:line="240" w:lineRule="exact"/>
        <w:ind w:firstLine="426"/>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The final exam consists of an oral test.</w:t>
      </w:r>
    </w:p>
    <w:p w14:paraId="3B8E7D50" w14:textId="77777777" w:rsidR="00287D03" w:rsidRPr="00287D03" w:rsidRDefault="00287D03" w:rsidP="00287D03">
      <w:pPr>
        <w:tabs>
          <w:tab w:val="left" w:pos="284"/>
        </w:tabs>
        <w:spacing w:line="240" w:lineRule="exact"/>
        <w:ind w:firstLine="426"/>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 xml:space="preserve">The evaluation is based on the following criteria: </w:t>
      </w:r>
      <w:r w:rsidRPr="00287D03">
        <w:rPr>
          <w:rFonts w:ascii="Times New Roman" w:eastAsia="Times New Roman" w:hAnsi="Times New Roman"/>
          <w:i/>
          <w:iCs/>
          <w:color w:val="111111"/>
          <w:sz w:val="18"/>
          <w:lang w:val="en-GB" w:eastAsia="it-IT"/>
        </w:rPr>
        <w:t>a)</w:t>
      </w:r>
      <w:r w:rsidRPr="00287D03">
        <w:rPr>
          <w:rFonts w:ascii="Times New Roman" w:eastAsia="Times New Roman" w:hAnsi="Times New Roman"/>
          <w:color w:val="111111"/>
          <w:sz w:val="18"/>
          <w:lang w:val="en-GB" w:eastAsia="it-IT"/>
        </w:rPr>
        <w:t xml:space="preserve"> the pertinence of the terms and concepts employed in the discussion; </w:t>
      </w:r>
      <w:r w:rsidRPr="00287D03">
        <w:rPr>
          <w:rFonts w:ascii="Times New Roman" w:eastAsia="Times New Roman" w:hAnsi="Times New Roman"/>
          <w:i/>
          <w:iCs/>
          <w:color w:val="111111"/>
          <w:sz w:val="18"/>
          <w:lang w:val="en-GB" w:eastAsia="it-IT"/>
        </w:rPr>
        <w:t>b)</w:t>
      </w:r>
      <w:r w:rsidRPr="00287D03">
        <w:rPr>
          <w:rFonts w:ascii="Times New Roman" w:eastAsia="Times New Roman" w:hAnsi="Times New Roman"/>
          <w:color w:val="111111"/>
          <w:sz w:val="18"/>
          <w:lang w:val="en-GB" w:eastAsia="it-IT"/>
        </w:rPr>
        <w:t xml:space="preserve"> the level of knowledge of the course contents; </w:t>
      </w:r>
      <w:r w:rsidRPr="00287D03">
        <w:rPr>
          <w:rFonts w:ascii="Times New Roman" w:eastAsia="Times New Roman" w:hAnsi="Times New Roman"/>
          <w:i/>
          <w:iCs/>
          <w:color w:val="111111"/>
          <w:sz w:val="18"/>
          <w:lang w:val="en-GB" w:eastAsia="it-IT"/>
        </w:rPr>
        <w:t xml:space="preserve">c) </w:t>
      </w:r>
      <w:r w:rsidRPr="00287D03">
        <w:rPr>
          <w:rFonts w:ascii="Times New Roman" w:eastAsia="Times New Roman" w:hAnsi="Times New Roman"/>
          <w:color w:val="111111"/>
          <w:sz w:val="18"/>
          <w:lang w:val="en-GB" w:eastAsia="it-IT"/>
        </w:rPr>
        <w:t xml:space="preserve">the ability to connect different subjects and to understand the problems they are involved with; </w:t>
      </w:r>
      <w:r w:rsidRPr="00287D03">
        <w:rPr>
          <w:rFonts w:ascii="Times New Roman" w:eastAsia="Times New Roman" w:hAnsi="Times New Roman"/>
          <w:i/>
          <w:iCs/>
          <w:color w:val="111111"/>
          <w:sz w:val="18"/>
          <w:lang w:val="en-GB" w:eastAsia="it-IT"/>
        </w:rPr>
        <w:t>d)</w:t>
      </w:r>
      <w:r w:rsidRPr="00287D03">
        <w:rPr>
          <w:rFonts w:ascii="Times New Roman" w:eastAsia="Times New Roman" w:hAnsi="Times New Roman"/>
          <w:color w:val="111111"/>
          <w:sz w:val="18"/>
          <w:lang w:val="en-GB" w:eastAsia="it-IT"/>
        </w:rPr>
        <w:t xml:space="preserve"> the ability to use conceptual and theoretical tools for the analysis of concrete case studies.</w:t>
      </w:r>
    </w:p>
    <w:p w14:paraId="646A285F" w14:textId="77777777" w:rsidR="0043570F" w:rsidRPr="0043570F" w:rsidRDefault="0043570F" w:rsidP="0043570F">
      <w:pPr>
        <w:tabs>
          <w:tab w:val="left" w:pos="284"/>
        </w:tabs>
        <w:spacing w:before="240" w:after="120" w:line="240" w:lineRule="exact"/>
        <w:rPr>
          <w:rFonts w:ascii="Times New Roman" w:eastAsia="Times New Roman" w:hAnsi="Times New Roman"/>
          <w:b/>
          <w:i/>
          <w:sz w:val="18"/>
          <w:szCs w:val="24"/>
          <w:lang w:val="en-US" w:eastAsia="it-IT"/>
        </w:rPr>
      </w:pPr>
      <w:r w:rsidRPr="0043570F">
        <w:rPr>
          <w:rFonts w:ascii="Times New Roman" w:eastAsia="Times New Roman" w:hAnsi="Times New Roman"/>
          <w:b/>
          <w:i/>
          <w:sz w:val="18"/>
          <w:szCs w:val="24"/>
          <w:lang w:val="en-US" w:eastAsia="it-IT"/>
        </w:rPr>
        <w:lastRenderedPageBreak/>
        <w:t>NOTES AND PREREQUISITES</w:t>
      </w:r>
    </w:p>
    <w:p w14:paraId="579BBB32" w14:textId="77777777" w:rsidR="00287D03" w:rsidRPr="00287D03" w:rsidRDefault="00287D03" w:rsidP="00287D03">
      <w:pPr>
        <w:spacing w:line="240" w:lineRule="auto"/>
        <w:ind w:firstLine="284"/>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To attend the course and take the final exam, it is not necessary to have taken any preliminary exam or possess specific requirements.</w:t>
      </w:r>
    </w:p>
    <w:p w14:paraId="0C696295" w14:textId="77777777" w:rsidR="00287D03" w:rsidRPr="00287D03" w:rsidRDefault="00287D03" w:rsidP="00287D03">
      <w:pPr>
        <w:spacing w:line="240" w:lineRule="auto"/>
        <w:ind w:firstLine="284"/>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Given the contents of the course, which focuses on constantly evolving phenomena, and the type of teaching, course attendance is not mandatory but recommended.</w:t>
      </w:r>
    </w:p>
    <w:p w14:paraId="51092761" w14:textId="77777777" w:rsidR="002173C2" w:rsidRPr="00AD5735" w:rsidRDefault="002173C2" w:rsidP="002173C2">
      <w:pPr>
        <w:spacing w:before="120" w:line="220" w:lineRule="atLeast"/>
        <w:ind w:firstLine="284"/>
        <w:rPr>
          <w:rFonts w:ascii="Times" w:eastAsia="Times New Roman" w:hAnsi="Times" w:cs="Times"/>
          <w:color w:val="000000"/>
          <w:sz w:val="18"/>
          <w:szCs w:val="18"/>
          <w:lang w:val="en-GB" w:eastAsia="it-IT"/>
        </w:rPr>
      </w:pPr>
      <w:r w:rsidRPr="00AD5735">
        <w:rPr>
          <w:rFonts w:ascii="Times" w:eastAsia="Times New Roman" w:hAnsi="Times" w:cs="Times"/>
          <w:color w:val="000000"/>
          <w:sz w:val="18"/>
          <w:szCs w:val="18"/>
          <w:shd w:val="clear" w:color="auto" w:fill="FEFFFF"/>
          <w:lang w:val="en-GB" w:eastAsia="it-IT"/>
        </w:rPr>
        <w:t xml:space="preserve">Further information is available in the course’s Blackboard page, lecturers’ webpages (at </w:t>
      </w:r>
      <w:r w:rsidRPr="00AD5735">
        <w:rPr>
          <w:rFonts w:ascii="Times" w:eastAsia="Times New Roman" w:hAnsi="Times" w:cs="Times"/>
          <w:sz w:val="18"/>
          <w:szCs w:val="18"/>
          <w:u w:val="single"/>
          <w:shd w:val="clear" w:color="auto" w:fill="FEFFFF"/>
          <w:lang w:val="en-GB" w:eastAsia="it-IT"/>
        </w:rPr>
        <w:t>http://docenti.unicatt.it/web/searchByName.do?language=ENG)</w:t>
      </w:r>
      <w:r w:rsidRPr="00AD5735">
        <w:rPr>
          <w:rFonts w:ascii="Times" w:eastAsia="Times New Roman" w:hAnsi="Times" w:cs="Times"/>
          <w:sz w:val="18"/>
          <w:szCs w:val="18"/>
          <w:shd w:val="clear" w:color="auto" w:fill="FEFFFF"/>
          <w:lang w:val="en-GB" w:eastAsia="it-IT"/>
        </w:rPr>
        <w:t xml:space="preserve"> and the Faculty notice board.</w:t>
      </w:r>
    </w:p>
    <w:p w14:paraId="1DAE454F" w14:textId="77777777" w:rsidR="00287D03" w:rsidRPr="00287D03" w:rsidRDefault="00287D03" w:rsidP="00287D03">
      <w:pPr>
        <w:spacing w:line="240" w:lineRule="auto"/>
        <w:ind w:firstLine="284"/>
        <w:rPr>
          <w:rFonts w:ascii="Times New Roman" w:eastAsia="Times New Roman" w:hAnsi="Times New Roman"/>
          <w:i/>
          <w:color w:val="111111"/>
          <w:sz w:val="18"/>
          <w:lang w:val="en-GB" w:eastAsia="it-IT"/>
        </w:rPr>
      </w:pPr>
      <w:r w:rsidRPr="00287D03">
        <w:rPr>
          <w:rFonts w:ascii="Times New Roman" w:eastAsia="Times New Roman" w:hAnsi="Times New Roman"/>
          <w:i/>
          <w:color w:val="111111"/>
          <w:sz w:val="18"/>
          <w:lang w:val="en-GB" w:eastAsia="it-IT"/>
        </w:rPr>
        <w:t>Times and place of Reception</w:t>
      </w:r>
    </w:p>
    <w:p w14:paraId="41A59A80" w14:textId="406E9CB6" w:rsidR="00093D58" w:rsidRPr="004940B3" w:rsidRDefault="00CC6A7B" w:rsidP="00287D03">
      <w:pPr>
        <w:spacing w:line="240" w:lineRule="auto"/>
        <w:ind w:firstLine="284"/>
        <w:rPr>
          <w:rFonts w:ascii="Times New Roman" w:eastAsia="Times New Roman" w:hAnsi="Times New Roman"/>
          <w:color w:val="111111"/>
          <w:sz w:val="18"/>
          <w:lang w:val="en-GB" w:eastAsia="it-IT"/>
        </w:rPr>
      </w:pPr>
      <w:r w:rsidRPr="00CC6A7B">
        <w:rPr>
          <w:rFonts w:ascii="Times New Roman" w:eastAsia="Times New Roman" w:hAnsi="Times New Roman"/>
          <w:color w:val="111111"/>
          <w:sz w:val="18"/>
          <w:lang w:val="en-GB" w:eastAsia="it-IT"/>
        </w:rPr>
        <w:t xml:space="preserve">Prof. Laura Zanfrini receives students at the Department of Sociology (III floor, room 312) on the days and </w:t>
      </w:r>
      <w:r>
        <w:rPr>
          <w:rFonts w:ascii="Times New Roman" w:eastAsia="Times New Roman" w:hAnsi="Times New Roman"/>
          <w:color w:val="111111"/>
          <w:sz w:val="18"/>
          <w:lang w:val="en-GB" w:eastAsia="it-IT"/>
        </w:rPr>
        <w:t>hour</w:t>
      </w:r>
      <w:r w:rsidRPr="00CC6A7B">
        <w:rPr>
          <w:rFonts w:ascii="Times New Roman" w:eastAsia="Times New Roman" w:hAnsi="Times New Roman"/>
          <w:color w:val="111111"/>
          <w:sz w:val="18"/>
          <w:lang w:val="en-GB" w:eastAsia="it-IT"/>
        </w:rPr>
        <w:t xml:space="preserve">s indicated on the professor </w:t>
      </w:r>
      <w:r>
        <w:rPr>
          <w:rFonts w:ascii="Times New Roman" w:eastAsia="Times New Roman" w:hAnsi="Times New Roman"/>
          <w:color w:val="111111"/>
          <w:sz w:val="18"/>
          <w:lang w:val="en-GB" w:eastAsia="it-IT"/>
        </w:rPr>
        <w:t xml:space="preserve">web </w:t>
      </w:r>
      <w:r w:rsidRPr="00CC6A7B">
        <w:rPr>
          <w:rFonts w:ascii="Times New Roman" w:eastAsia="Times New Roman" w:hAnsi="Times New Roman"/>
          <w:color w:val="111111"/>
          <w:sz w:val="18"/>
          <w:lang w:val="en-GB" w:eastAsia="it-IT"/>
        </w:rPr>
        <w:t>page and on the Blackboard platform</w:t>
      </w:r>
      <w:r>
        <w:rPr>
          <w:rFonts w:ascii="Times New Roman" w:eastAsia="Times New Roman" w:hAnsi="Times New Roman"/>
          <w:color w:val="111111"/>
          <w:sz w:val="18"/>
          <w:lang w:val="en-GB" w:eastAsia="it-IT"/>
        </w:rPr>
        <w:t>.</w:t>
      </w:r>
    </w:p>
    <w:sectPr w:rsidR="00093D58" w:rsidRPr="004940B3" w:rsidSect="00BA0DB3">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858"/>
    <w:multiLevelType w:val="hybridMultilevel"/>
    <w:tmpl w:val="817CD65E"/>
    <w:lvl w:ilvl="0" w:tplc="9B30F61E">
      <w:numFmt w:val="bullet"/>
      <w:lvlText w:val="–"/>
      <w:lvlJc w:val="left"/>
      <w:pPr>
        <w:ind w:left="364"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4B7748B"/>
    <w:multiLevelType w:val="hybridMultilevel"/>
    <w:tmpl w:val="A2867072"/>
    <w:lvl w:ilvl="0" w:tplc="9B30F61E">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B13417"/>
    <w:multiLevelType w:val="multilevel"/>
    <w:tmpl w:val="F37EB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E2E8A"/>
    <w:multiLevelType w:val="hybridMultilevel"/>
    <w:tmpl w:val="3D14AD88"/>
    <w:lvl w:ilvl="0" w:tplc="9B30F6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E2C57"/>
    <w:multiLevelType w:val="hybridMultilevel"/>
    <w:tmpl w:val="67C2F9A2"/>
    <w:lvl w:ilvl="0" w:tplc="04100001">
      <w:start w:val="1"/>
      <w:numFmt w:val="bullet"/>
      <w:lvlText w:val=""/>
      <w:lvlJc w:val="left"/>
      <w:pPr>
        <w:ind w:left="502" w:hanging="360"/>
      </w:pPr>
      <w:rPr>
        <w:rFonts w:ascii="Symbol" w:hAnsi="Symbol" w:hint="default"/>
      </w:rPr>
    </w:lvl>
    <w:lvl w:ilvl="1" w:tplc="3E6C1CA2">
      <w:numFmt w:val="bullet"/>
      <w:lvlText w:val="-"/>
      <w:lvlJc w:val="left"/>
      <w:pPr>
        <w:ind w:left="1222" w:hanging="360"/>
      </w:pPr>
      <w:rPr>
        <w:rFonts w:ascii="Times New Roman" w:eastAsia="Times New Roman" w:hAnsi="Times New Roman"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3B6E1B4A"/>
    <w:multiLevelType w:val="hybridMultilevel"/>
    <w:tmpl w:val="1D7A25FE"/>
    <w:lvl w:ilvl="0" w:tplc="F56CE3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CB52F1"/>
    <w:multiLevelType w:val="hybridMultilevel"/>
    <w:tmpl w:val="5A48F832"/>
    <w:lvl w:ilvl="0" w:tplc="9B30F61E">
      <w:numFmt w:val="bullet"/>
      <w:lvlText w:val="–"/>
      <w:lvlJc w:val="left"/>
      <w:pPr>
        <w:ind w:left="720" w:hanging="360"/>
      </w:pPr>
      <w:rPr>
        <w:rFonts w:ascii="Times New Roman" w:eastAsia="Calibri" w:hAnsi="Times New Roman" w:cs="Times New Roman" w:hint="default"/>
      </w:rPr>
    </w:lvl>
    <w:lvl w:ilvl="1" w:tplc="5A1655A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961B48"/>
    <w:multiLevelType w:val="hybridMultilevel"/>
    <w:tmpl w:val="983CC3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3877E7"/>
    <w:multiLevelType w:val="hybridMultilevel"/>
    <w:tmpl w:val="79CAA0EE"/>
    <w:lvl w:ilvl="0" w:tplc="9B30F6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766806"/>
    <w:multiLevelType w:val="hybridMultilevel"/>
    <w:tmpl w:val="A5FA125A"/>
    <w:lvl w:ilvl="0" w:tplc="1090C8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913894"/>
    <w:multiLevelType w:val="hybridMultilevel"/>
    <w:tmpl w:val="837E0490"/>
    <w:lvl w:ilvl="0" w:tplc="9B30F61E">
      <w:numFmt w:val="bullet"/>
      <w:lvlText w:val="–"/>
      <w:lvlJc w:val="left"/>
      <w:pPr>
        <w:ind w:left="720" w:hanging="360"/>
      </w:pPr>
      <w:rPr>
        <w:rFonts w:ascii="Times New Roman" w:eastAsia="Calibri" w:hAnsi="Times New Roman" w:cs="Times New Roman" w:hint="default"/>
      </w:rPr>
    </w:lvl>
    <w:lvl w:ilvl="1" w:tplc="9B30F61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650530">
    <w:abstractNumId w:val="2"/>
  </w:num>
  <w:num w:numId="2" w16cid:durableId="11915317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29540">
    <w:abstractNumId w:val="0"/>
  </w:num>
  <w:num w:numId="4" w16cid:durableId="1030646542">
    <w:abstractNumId w:val="4"/>
  </w:num>
  <w:num w:numId="5" w16cid:durableId="1596283214">
    <w:abstractNumId w:val="7"/>
  </w:num>
  <w:num w:numId="6" w16cid:durableId="793519840">
    <w:abstractNumId w:val="8"/>
  </w:num>
  <w:num w:numId="7" w16cid:durableId="1570849341">
    <w:abstractNumId w:val="5"/>
  </w:num>
  <w:num w:numId="8" w16cid:durableId="838229126">
    <w:abstractNumId w:val="3"/>
  </w:num>
  <w:num w:numId="9" w16cid:durableId="1450052466">
    <w:abstractNumId w:val="9"/>
  </w:num>
  <w:num w:numId="10" w16cid:durableId="1930653187">
    <w:abstractNumId w:val="1"/>
  </w:num>
  <w:num w:numId="11" w16cid:durableId="1853570423">
    <w:abstractNumId w:val="10"/>
  </w:num>
  <w:num w:numId="12" w16cid:durableId="682166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37"/>
    <w:rsid w:val="00000937"/>
    <w:rsid w:val="00017F22"/>
    <w:rsid w:val="00093D58"/>
    <w:rsid w:val="00124D1F"/>
    <w:rsid w:val="002173C2"/>
    <w:rsid w:val="00287D03"/>
    <w:rsid w:val="003317E0"/>
    <w:rsid w:val="0043570F"/>
    <w:rsid w:val="004940B3"/>
    <w:rsid w:val="005F310C"/>
    <w:rsid w:val="007578C3"/>
    <w:rsid w:val="007B0DEE"/>
    <w:rsid w:val="00812795"/>
    <w:rsid w:val="00A44166"/>
    <w:rsid w:val="00A54227"/>
    <w:rsid w:val="00A76D33"/>
    <w:rsid w:val="00BA0DB3"/>
    <w:rsid w:val="00CC6A7B"/>
    <w:rsid w:val="00D01014"/>
    <w:rsid w:val="00EA53B5"/>
    <w:rsid w:val="00F0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330"/>
  <w15:chartTrackingRefBased/>
  <w15:docId w15:val="{3AAEADEF-7704-477C-8039-6947D74F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3D58"/>
    <w:pPr>
      <w:spacing w:line="360" w:lineRule="auto"/>
      <w:jc w:val="both"/>
    </w:pPr>
    <w:rPr>
      <w:sz w:val="22"/>
      <w:szCs w:val="22"/>
      <w:lang w:eastAsia="en-US"/>
    </w:rPr>
  </w:style>
  <w:style w:type="paragraph" w:styleId="Titolo1">
    <w:name w:val="heading 1"/>
    <w:basedOn w:val="Normale"/>
    <w:link w:val="Titolo1Carattere"/>
    <w:uiPriority w:val="9"/>
    <w:qFormat/>
    <w:rsid w:val="00000937"/>
    <w:pPr>
      <w:spacing w:before="240" w:after="240" w:line="240" w:lineRule="auto"/>
      <w:jc w:val="left"/>
      <w:outlineLvl w:val="0"/>
    </w:pPr>
    <w:rPr>
      <w:rFonts w:ascii="Times New Roman" w:eastAsia="Times New Roman" w:hAnsi="Times New Roman"/>
      <w:b/>
      <w:bCs/>
      <w:kern w:val="36"/>
      <w:sz w:val="36"/>
      <w:szCs w:val="36"/>
      <w:lang w:eastAsia="it-IT"/>
    </w:rPr>
  </w:style>
  <w:style w:type="paragraph" w:styleId="Titolo2">
    <w:name w:val="heading 2"/>
    <w:basedOn w:val="Normale"/>
    <w:link w:val="Titolo2Carattere"/>
    <w:qFormat/>
    <w:rsid w:val="00000937"/>
    <w:pPr>
      <w:spacing w:before="240" w:after="240" w:line="240" w:lineRule="auto"/>
      <w:jc w:val="left"/>
      <w:outlineLvl w:val="1"/>
    </w:pPr>
    <w:rPr>
      <w:rFonts w:ascii="Times New Roman" w:eastAsia="Times New Roman" w:hAnsi="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0937"/>
    <w:rPr>
      <w:rFonts w:ascii="Times New Roman" w:eastAsia="Times New Roman" w:hAnsi="Times New Roman" w:cs="Times New Roman"/>
      <w:b/>
      <w:bCs/>
      <w:kern w:val="36"/>
      <w:sz w:val="36"/>
      <w:szCs w:val="36"/>
      <w:lang w:eastAsia="it-IT"/>
    </w:rPr>
  </w:style>
  <w:style w:type="character" w:customStyle="1" w:styleId="Titolo2Carattere">
    <w:name w:val="Titolo 2 Carattere"/>
    <w:basedOn w:val="Carpredefinitoparagrafo"/>
    <w:link w:val="Titolo2"/>
    <w:uiPriority w:val="9"/>
    <w:rsid w:val="00000937"/>
    <w:rPr>
      <w:rFonts w:ascii="Times New Roman" w:eastAsia="Times New Roman" w:hAnsi="Times New Roman" w:cs="Times New Roman"/>
      <w:b/>
      <w:bCs/>
      <w:sz w:val="30"/>
      <w:szCs w:val="30"/>
      <w:lang w:eastAsia="it-IT"/>
    </w:rPr>
  </w:style>
  <w:style w:type="paragraph" w:customStyle="1" w:styleId="Testo2">
    <w:name w:val="Testo 2"/>
    <w:link w:val="Testo2Carattere"/>
    <w:rsid w:val="00812795"/>
    <w:pPr>
      <w:spacing w:line="220" w:lineRule="exact"/>
      <w:ind w:firstLine="284"/>
      <w:jc w:val="both"/>
    </w:pPr>
    <w:rPr>
      <w:rFonts w:ascii="Times" w:eastAsia="Times New Roman" w:hAnsi="Times"/>
      <w:noProof/>
      <w:sz w:val="18"/>
    </w:rPr>
  </w:style>
  <w:style w:type="character" w:customStyle="1" w:styleId="Testo2Carattere">
    <w:name w:val="Testo 2 Carattere"/>
    <w:link w:val="Testo2"/>
    <w:locked/>
    <w:rsid w:val="00812795"/>
    <w:rPr>
      <w:rFonts w:ascii="Times" w:eastAsia="Times New Roman" w:hAnsi="Times"/>
      <w:noProof/>
      <w:sz w:val="18"/>
    </w:rPr>
  </w:style>
  <w:style w:type="paragraph" w:styleId="Paragrafoelenco">
    <w:name w:val="List Paragraph"/>
    <w:basedOn w:val="Normale"/>
    <w:uiPriority w:val="34"/>
    <w:qFormat/>
    <w:rsid w:val="007B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215">
      <w:bodyDiv w:val="1"/>
      <w:marLeft w:val="0"/>
      <w:marRight w:val="0"/>
      <w:marTop w:val="0"/>
      <w:marBottom w:val="0"/>
      <w:divBdr>
        <w:top w:val="none" w:sz="0" w:space="0" w:color="auto"/>
        <w:left w:val="none" w:sz="0" w:space="0" w:color="auto"/>
        <w:bottom w:val="none" w:sz="0" w:space="0" w:color="auto"/>
        <w:right w:val="none" w:sz="0" w:space="0" w:color="auto"/>
      </w:divBdr>
      <w:divsChild>
        <w:div w:id="1444108312">
          <w:marLeft w:val="0"/>
          <w:marRight w:val="0"/>
          <w:marTop w:val="0"/>
          <w:marBottom w:val="0"/>
          <w:divBdr>
            <w:top w:val="none" w:sz="0" w:space="0" w:color="auto"/>
            <w:left w:val="none" w:sz="0" w:space="0" w:color="auto"/>
            <w:bottom w:val="none" w:sz="0" w:space="0" w:color="auto"/>
            <w:right w:val="none" w:sz="0" w:space="0" w:color="auto"/>
          </w:divBdr>
          <w:divsChild>
            <w:div w:id="777993769">
              <w:marLeft w:val="0"/>
              <w:marRight w:val="0"/>
              <w:marTop w:val="81"/>
              <w:marBottom w:val="0"/>
              <w:divBdr>
                <w:top w:val="none" w:sz="0" w:space="0" w:color="auto"/>
                <w:left w:val="none" w:sz="0" w:space="0" w:color="auto"/>
                <w:bottom w:val="none" w:sz="0" w:space="0" w:color="auto"/>
                <w:right w:val="none" w:sz="0" w:space="0" w:color="auto"/>
              </w:divBdr>
              <w:divsChild>
                <w:div w:id="1990984355">
                  <w:marLeft w:val="1501"/>
                  <w:marRight w:val="81"/>
                  <w:marTop w:val="0"/>
                  <w:marBottom w:val="0"/>
                  <w:divBdr>
                    <w:top w:val="none" w:sz="0" w:space="0" w:color="auto"/>
                    <w:left w:val="none" w:sz="0" w:space="0" w:color="auto"/>
                    <w:bottom w:val="none" w:sz="0" w:space="0" w:color="auto"/>
                    <w:right w:val="none" w:sz="0" w:space="0" w:color="auto"/>
                  </w:divBdr>
                  <w:divsChild>
                    <w:div w:id="6755990">
                      <w:marLeft w:val="0"/>
                      <w:marRight w:val="0"/>
                      <w:marTop w:val="0"/>
                      <w:marBottom w:val="0"/>
                      <w:divBdr>
                        <w:top w:val="none" w:sz="0" w:space="0" w:color="auto"/>
                        <w:left w:val="none" w:sz="0" w:space="0" w:color="auto"/>
                        <w:bottom w:val="none" w:sz="0" w:space="0" w:color="auto"/>
                        <w:right w:val="none" w:sz="0" w:space="0" w:color="auto"/>
                      </w:divBdr>
                      <w:divsChild>
                        <w:div w:id="154608526">
                          <w:marLeft w:val="0"/>
                          <w:marRight w:val="0"/>
                          <w:marTop w:val="0"/>
                          <w:marBottom w:val="0"/>
                          <w:divBdr>
                            <w:top w:val="none" w:sz="0" w:space="0" w:color="auto"/>
                            <w:left w:val="none" w:sz="0" w:space="0" w:color="auto"/>
                            <w:bottom w:val="none" w:sz="0" w:space="0" w:color="auto"/>
                            <w:right w:val="none" w:sz="0" w:space="0" w:color="auto"/>
                          </w:divBdr>
                          <w:divsChild>
                            <w:div w:id="199321267">
                              <w:marLeft w:val="0"/>
                              <w:marRight w:val="0"/>
                              <w:marTop w:val="0"/>
                              <w:marBottom w:val="0"/>
                              <w:divBdr>
                                <w:top w:val="none" w:sz="0" w:space="0" w:color="CCC8A9"/>
                                <w:left w:val="none" w:sz="0" w:space="0" w:color="CCC8A9"/>
                                <w:bottom w:val="none" w:sz="0" w:space="0" w:color="CCC8A9"/>
                                <w:right w:val="none" w:sz="0" w:space="0" w:color="CCC8A9"/>
                              </w:divBdr>
                              <w:divsChild>
                                <w:div w:id="1766144151">
                                  <w:marLeft w:val="0"/>
                                  <w:marRight w:val="0"/>
                                  <w:marTop w:val="0"/>
                                  <w:marBottom w:val="0"/>
                                  <w:divBdr>
                                    <w:top w:val="none" w:sz="0" w:space="0" w:color="auto"/>
                                    <w:left w:val="none" w:sz="0" w:space="0" w:color="auto"/>
                                    <w:bottom w:val="none" w:sz="0" w:space="0" w:color="auto"/>
                                    <w:right w:val="none" w:sz="0" w:space="0" w:color="auto"/>
                                  </w:divBdr>
                                  <w:divsChild>
                                    <w:div w:id="894197816">
                                      <w:marLeft w:val="0"/>
                                      <w:marRight w:val="0"/>
                                      <w:marTop w:val="0"/>
                                      <w:marBottom w:val="0"/>
                                      <w:divBdr>
                                        <w:top w:val="none" w:sz="0" w:space="0" w:color="auto"/>
                                        <w:left w:val="none" w:sz="0" w:space="0" w:color="auto"/>
                                        <w:bottom w:val="none" w:sz="0" w:space="0" w:color="auto"/>
                                        <w:right w:val="none" w:sz="0" w:space="0" w:color="auto"/>
                                      </w:divBdr>
                                      <w:divsChild>
                                        <w:div w:id="1598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4258</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Links>
    <vt:vector size="6" baseType="variant">
      <vt:variant>
        <vt:i4>7405584</vt:i4>
      </vt:variant>
      <vt:variant>
        <vt:i4>0</vt:i4>
      </vt:variant>
      <vt:variant>
        <vt:i4>0</vt:i4>
      </vt:variant>
      <vt:variant>
        <vt:i4>5</vt:i4>
      </vt:variant>
      <vt:variant>
        <vt:lpwstr>mailto:laura.zanfrini@unicatt.it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Zanfrini</dc:creator>
  <cp:keywords/>
  <cp:lastModifiedBy>Bisello Stefano</cp:lastModifiedBy>
  <cp:revision>2</cp:revision>
  <dcterms:created xsi:type="dcterms:W3CDTF">2023-05-04T14:16:00Z</dcterms:created>
  <dcterms:modified xsi:type="dcterms:W3CDTF">2023-05-04T14:16:00Z</dcterms:modified>
</cp:coreProperties>
</file>