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A711D" w14:textId="77777777" w:rsidR="00D43A74" w:rsidRPr="00FB7C1D" w:rsidRDefault="00D43A74" w:rsidP="00D43A74">
      <w:pPr>
        <w:pStyle w:val="Titolo1"/>
        <w:shd w:val="clear" w:color="auto" w:fill="FFFFFF"/>
        <w:rPr>
          <w:rFonts w:cs="Times"/>
          <w:bCs/>
        </w:rPr>
      </w:pPr>
      <w:r>
        <w:t>Workshop: Promoting professional networks and tables</w:t>
      </w:r>
    </w:p>
    <w:p w14:paraId="3EAAB1E3" w14:textId="78306755" w:rsidR="00294A34" w:rsidRDefault="00294A34" w:rsidP="00AE2255">
      <w:pPr>
        <w:pStyle w:val="Titolo2"/>
      </w:pPr>
      <w:r>
        <w:t xml:space="preserve">Prof. </w:t>
      </w:r>
      <w:r w:rsidR="008E313F">
        <w:t>Damiano Bonetto</w:t>
      </w:r>
    </w:p>
    <w:p w14:paraId="1FE04125" w14:textId="5298EF13" w:rsidR="00294A34" w:rsidRDefault="00294A34" w:rsidP="00AE2255">
      <w:pPr>
        <w:pStyle w:val="Titolo3"/>
        <w:rPr>
          <w:b/>
        </w:rPr>
      </w:pPr>
      <w:r>
        <w:rPr>
          <w:b/>
        </w:rPr>
        <w:t>COURSE AIMS AND INTENDED LEARNING OUTCOMES</w:t>
      </w:r>
    </w:p>
    <w:p w14:paraId="4DF84A56" w14:textId="3191C7F2" w:rsidR="00C3137A" w:rsidRDefault="001A517A" w:rsidP="00AE2255">
      <w:pPr>
        <w:spacing w:after="0" w:line="240" w:lineRule="exact"/>
        <w:jc w:val="both"/>
        <w:rPr>
          <w:rFonts w:ascii="Times New Roman" w:hAnsi="Times New Roman" w:cs="Times New Roman"/>
          <w:bCs/>
          <w:sz w:val="20"/>
          <w:szCs w:val="20"/>
        </w:rPr>
      </w:pPr>
      <w:r>
        <w:rPr>
          <w:rFonts w:ascii="Times New Roman" w:hAnsi="Times New Roman"/>
          <w:sz w:val="20"/>
        </w:rPr>
        <w:t>The course aims to explore the topic of the promotion, management, and coordination of professional territorial networks and working tables in the social and educational context. It aims to promote the integration between theory and practice in order to develop the ability to recognise, activate, promote, map, and analyse professional territorial networks and working tables among the main actors of the socio-educational system (third sector, social enterprises, schools, associations, public bodies, foundations, ecclesiastical bodies, informal groups of citizens, etc.).</w:t>
      </w:r>
    </w:p>
    <w:p w14:paraId="492144AE" w14:textId="77777777" w:rsidR="00717963" w:rsidRPr="00717963" w:rsidRDefault="00717963" w:rsidP="00AE2255">
      <w:pPr>
        <w:spacing w:after="0" w:line="240" w:lineRule="exact"/>
        <w:jc w:val="both"/>
        <w:rPr>
          <w:rFonts w:ascii="Times New Roman" w:hAnsi="Times New Roman" w:cs="Times New Roman"/>
          <w:bCs/>
          <w:sz w:val="20"/>
          <w:szCs w:val="20"/>
        </w:rPr>
      </w:pPr>
      <w:r>
        <w:rPr>
          <w:rFonts w:ascii="Times New Roman" w:hAnsi="Times New Roman"/>
          <w:sz w:val="20"/>
        </w:rPr>
        <w:t>At the end of the course, students will be able to:</w:t>
      </w:r>
    </w:p>
    <w:p w14:paraId="1C549477" w14:textId="7BB00AB9" w:rsidR="00717963" w:rsidRPr="00717963" w:rsidRDefault="00717963" w:rsidP="00AE2255">
      <w:pPr>
        <w:spacing w:after="0" w:line="240" w:lineRule="exact"/>
        <w:ind w:left="284" w:hanging="284"/>
        <w:jc w:val="both"/>
        <w:rPr>
          <w:rFonts w:ascii="Times New Roman" w:hAnsi="Times New Roman" w:cs="Times New Roman"/>
          <w:bCs/>
          <w:sz w:val="20"/>
          <w:szCs w:val="20"/>
        </w:rPr>
      </w:pPr>
      <w:r>
        <w:rPr>
          <w:rFonts w:ascii="Times New Roman" w:hAnsi="Times New Roman"/>
          <w:sz w:val="20"/>
        </w:rPr>
        <w:t>–</w:t>
      </w:r>
      <w:r>
        <w:rPr>
          <w:rFonts w:ascii="Times New Roman" w:hAnsi="Times New Roman"/>
          <w:sz w:val="20"/>
        </w:rPr>
        <w:tab/>
        <w:t>identify the main actors of professional networks and territorial working tables in the socio-educational field;</w:t>
      </w:r>
    </w:p>
    <w:p w14:paraId="73D0571E" w14:textId="075F8D40" w:rsidR="00717963" w:rsidRPr="00717963" w:rsidRDefault="00717963" w:rsidP="00AE2255">
      <w:pPr>
        <w:spacing w:after="0" w:line="240" w:lineRule="exact"/>
        <w:ind w:left="284" w:hanging="284"/>
        <w:jc w:val="both"/>
        <w:rPr>
          <w:rFonts w:ascii="Times New Roman" w:hAnsi="Times New Roman" w:cs="Times New Roman"/>
          <w:bCs/>
          <w:sz w:val="20"/>
          <w:szCs w:val="20"/>
        </w:rPr>
      </w:pPr>
      <w:r>
        <w:rPr>
          <w:rFonts w:ascii="Times New Roman" w:hAnsi="Times New Roman"/>
          <w:sz w:val="20"/>
        </w:rPr>
        <w:t>–</w:t>
      </w:r>
      <w:r>
        <w:rPr>
          <w:rFonts w:ascii="Times New Roman" w:hAnsi="Times New Roman"/>
          <w:sz w:val="20"/>
        </w:rPr>
        <w:tab/>
        <w:t>promote, support, and develop with a methodical approach the professional networks and the working tables created among the main actors of the socio-educational system;</w:t>
      </w:r>
    </w:p>
    <w:p w14:paraId="1AAB1B74" w14:textId="3618D5D1" w:rsidR="00717963" w:rsidRPr="00717963" w:rsidRDefault="00717963" w:rsidP="00AE2255">
      <w:pPr>
        <w:spacing w:after="0" w:line="240" w:lineRule="exact"/>
        <w:ind w:left="284" w:hanging="284"/>
        <w:jc w:val="both"/>
        <w:rPr>
          <w:rFonts w:ascii="Times New Roman" w:hAnsi="Times New Roman" w:cs="Times New Roman"/>
          <w:bCs/>
          <w:sz w:val="20"/>
          <w:szCs w:val="20"/>
        </w:rPr>
      </w:pPr>
      <w:r>
        <w:rPr>
          <w:rFonts w:ascii="Times New Roman" w:hAnsi="Times New Roman"/>
          <w:sz w:val="20"/>
        </w:rPr>
        <w:t>–</w:t>
      </w:r>
      <w:r>
        <w:rPr>
          <w:rFonts w:ascii="Times New Roman" w:hAnsi="Times New Roman"/>
          <w:sz w:val="20"/>
        </w:rPr>
        <w:tab/>
        <w:t>map, monitor, and analyse the quality of the community work in order to improve it;</w:t>
      </w:r>
    </w:p>
    <w:p w14:paraId="296E79BB" w14:textId="7B8D7F14" w:rsidR="00717963" w:rsidRDefault="00717963" w:rsidP="00AE2255">
      <w:pPr>
        <w:spacing w:after="0" w:line="240" w:lineRule="exact"/>
        <w:ind w:left="284" w:hanging="284"/>
        <w:jc w:val="both"/>
        <w:rPr>
          <w:rFonts w:ascii="Times New Roman" w:hAnsi="Times New Roman" w:cs="Times New Roman"/>
          <w:bCs/>
          <w:sz w:val="20"/>
          <w:szCs w:val="20"/>
        </w:rPr>
      </w:pPr>
      <w:r>
        <w:rPr>
          <w:rFonts w:ascii="Times New Roman" w:hAnsi="Times New Roman"/>
          <w:sz w:val="20"/>
        </w:rPr>
        <w:t>–</w:t>
      </w:r>
      <w:r>
        <w:rPr>
          <w:rFonts w:ascii="Times New Roman" w:hAnsi="Times New Roman"/>
          <w:sz w:val="20"/>
        </w:rPr>
        <w:tab/>
        <w:t>reflect on their role and their ability to work in the new welfare systems adopting a community-focused and a generative perspective.</w:t>
      </w:r>
    </w:p>
    <w:p w14:paraId="55ECFC1B" w14:textId="41F2BD71" w:rsidR="00294A34" w:rsidRPr="00294A34" w:rsidRDefault="00294A34" w:rsidP="00AE2255">
      <w:pPr>
        <w:spacing w:before="240" w:after="120" w:line="240" w:lineRule="exact"/>
        <w:rPr>
          <w:rFonts w:ascii="Times" w:eastAsia="Times New Roman" w:hAnsi="Times" w:cs="Times New Roman"/>
          <w:b/>
          <w:i/>
          <w:caps/>
          <w:noProof/>
          <w:sz w:val="18"/>
          <w:szCs w:val="20"/>
        </w:rPr>
      </w:pPr>
      <w:r>
        <w:rPr>
          <w:rFonts w:ascii="Times" w:hAnsi="Times"/>
          <w:b/>
          <w:i/>
          <w:caps/>
          <w:sz w:val="18"/>
        </w:rPr>
        <w:t>COURSE CONTENT</w:t>
      </w:r>
    </w:p>
    <w:p w14:paraId="3D3227C5" w14:textId="2517C240" w:rsidR="000C21BA" w:rsidRDefault="000C21BA" w:rsidP="00AE2255">
      <w:pPr>
        <w:spacing w:after="0" w:line="240" w:lineRule="exact"/>
        <w:jc w:val="both"/>
        <w:rPr>
          <w:rFonts w:ascii="Times New Roman" w:eastAsia="ヒラギノ角ゴ Pro W3" w:hAnsi="Times New Roman" w:cs="Times New Roman"/>
          <w:bCs/>
          <w:sz w:val="20"/>
        </w:rPr>
      </w:pPr>
      <w:r>
        <w:rPr>
          <w:rFonts w:ascii="Times New Roman" w:hAnsi="Times New Roman"/>
          <w:sz w:val="20"/>
        </w:rPr>
        <w:t>During the workshop, students will be invited to carry out a critical reflection on the methods for the promotion of professional networks based on collaboration and participation, intended as a strategic practice for the realisation of effective educational interventions.</w:t>
      </w:r>
    </w:p>
    <w:p w14:paraId="3EC25FD7" w14:textId="5509B210" w:rsidR="000C21BA" w:rsidRPr="000C21BA" w:rsidRDefault="000C21BA" w:rsidP="00AE2255">
      <w:pPr>
        <w:spacing w:after="0" w:line="240" w:lineRule="exact"/>
        <w:jc w:val="both"/>
        <w:rPr>
          <w:rFonts w:ascii="Times New Roman" w:eastAsia="ヒラギノ角ゴ Pro W3" w:hAnsi="Times New Roman" w:cs="Times New Roman"/>
          <w:bCs/>
          <w:sz w:val="20"/>
        </w:rPr>
      </w:pPr>
      <w:r>
        <w:rPr>
          <w:rFonts w:ascii="Times New Roman" w:hAnsi="Times New Roman"/>
          <w:sz w:val="20"/>
        </w:rPr>
        <w:t>The course will include the following activities:</w:t>
      </w:r>
    </w:p>
    <w:p w14:paraId="41E39B77" w14:textId="694771E1" w:rsidR="000C21BA" w:rsidRPr="00CB416A" w:rsidRDefault="00CB416A" w:rsidP="00AE2255">
      <w:pPr>
        <w:spacing w:after="0" w:line="240" w:lineRule="exact"/>
        <w:ind w:left="284" w:hanging="284"/>
        <w:jc w:val="both"/>
        <w:rPr>
          <w:rFonts w:ascii="Times New Roman" w:hAnsi="Times New Roman" w:cs="Times New Roman"/>
          <w:bCs/>
          <w:sz w:val="20"/>
          <w:szCs w:val="20"/>
        </w:rPr>
      </w:pPr>
      <w:r>
        <w:rPr>
          <w:rFonts w:ascii="Times New Roman" w:hAnsi="Times New Roman"/>
          <w:sz w:val="20"/>
        </w:rPr>
        <w:t>–</w:t>
      </w:r>
      <w:r>
        <w:rPr>
          <w:rFonts w:ascii="Times New Roman" w:hAnsi="Times New Roman"/>
          <w:sz w:val="20"/>
        </w:rPr>
        <w:tab/>
        <w:t>discussions aimed to encourage team building and bring to light the implicit knowledge on the topics related to professional networks, community development, and collaborative practices in education;</w:t>
      </w:r>
    </w:p>
    <w:p w14:paraId="6D344484" w14:textId="74E8BE32" w:rsidR="005E204A" w:rsidRPr="00CB416A" w:rsidRDefault="00CB416A" w:rsidP="00AE2255">
      <w:pPr>
        <w:spacing w:after="0" w:line="240" w:lineRule="exact"/>
        <w:ind w:left="284" w:hanging="284"/>
        <w:jc w:val="both"/>
        <w:rPr>
          <w:rFonts w:ascii="Times New Roman" w:hAnsi="Times New Roman" w:cs="Times New Roman"/>
          <w:bCs/>
          <w:sz w:val="20"/>
          <w:szCs w:val="20"/>
        </w:rPr>
      </w:pPr>
      <w:r>
        <w:rPr>
          <w:rFonts w:ascii="Times New Roman" w:hAnsi="Times New Roman"/>
          <w:sz w:val="20"/>
        </w:rPr>
        <w:t>–</w:t>
      </w:r>
      <w:r>
        <w:rPr>
          <w:rFonts w:ascii="Times New Roman" w:hAnsi="Times New Roman"/>
          <w:sz w:val="20"/>
        </w:rPr>
        <w:tab/>
        <w:t>the analysis of existing professional territorial networks and working tables aimed at the consolidation of the educating community, and the contrast with educational poverty;</w:t>
      </w:r>
    </w:p>
    <w:p w14:paraId="71B00A43" w14:textId="6D549257" w:rsidR="000C21BA" w:rsidRPr="00CB416A" w:rsidRDefault="00CB416A" w:rsidP="00AE2255">
      <w:pPr>
        <w:spacing w:after="0" w:line="240" w:lineRule="exact"/>
        <w:ind w:left="284" w:hanging="284"/>
        <w:jc w:val="both"/>
        <w:rPr>
          <w:rFonts w:ascii="Times New Roman" w:hAnsi="Times New Roman" w:cs="Times New Roman"/>
          <w:bCs/>
          <w:sz w:val="20"/>
          <w:szCs w:val="20"/>
        </w:rPr>
      </w:pPr>
      <w:r>
        <w:rPr>
          <w:rFonts w:ascii="Times New Roman" w:hAnsi="Times New Roman"/>
          <w:sz w:val="20"/>
        </w:rPr>
        <w:t>–</w:t>
      </w:r>
      <w:r>
        <w:rPr>
          <w:rFonts w:ascii="Times New Roman" w:hAnsi="Times New Roman"/>
          <w:sz w:val="20"/>
        </w:rPr>
        <w:tab/>
        <w:t xml:space="preserve">the analysis of operational tools to map, plan, and monitor professional and community networks (e. g. observation tools, focus groups, </w:t>
      </w:r>
      <w:r w:rsidR="00A4134F" w:rsidRPr="00A4134F">
        <w:rPr>
          <w:rFonts w:ascii="Times New Roman" w:eastAsia="Times New Roman" w:hAnsi="Times New Roman" w:cs="Times New Roman"/>
          <w:sz w:val="20"/>
          <w:szCs w:val="20"/>
        </w:rPr>
        <w:t xml:space="preserve">interviews with </w:t>
      </w:r>
      <w:r w:rsidR="00A4134F" w:rsidRPr="00A4134F">
        <w:rPr>
          <w:rFonts w:ascii="Times New Roman" w:eastAsia="Times New Roman" w:hAnsi="Times New Roman" w:cs="Times New Roman"/>
          <w:sz w:val="20"/>
          <w:szCs w:val="20"/>
        </w:rPr>
        <w:lastRenderedPageBreak/>
        <w:t>active listening mode, design thinking applied to social</w:t>
      </w:r>
      <w:r w:rsidR="008E313F">
        <w:rPr>
          <w:rFonts w:ascii="Times New Roman" w:eastAsia="Times New Roman" w:hAnsi="Times New Roman" w:cs="Times New Roman"/>
          <w:sz w:val="20"/>
          <w:szCs w:val="20"/>
        </w:rPr>
        <w:t>, social network analysis ecc.</w:t>
      </w:r>
      <w:r>
        <w:rPr>
          <w:rFonts w:ascii="Times New Roman" w:hAnsi="Times New Roman"/>
          <w:sz w:val="20"/>
        </w:rPr>
        <w:t>etc.).</w:t>
      </w:r>
    </w:p>
    <w:p w14:paraId="5FEB47C8" w14:textId="09014F06" w:rsidR="004037E9" w:rsidRDefault="004037E9" w:rsidP="00AE2255">
      <w:pPr>
        <w:spacing w:after="0" w:line="240" w:lineRule="exact"/>
        <w:jc w:val="both"/>
        <w:rPr>
          <w:rFonts w:ascii="Times New Roman" w:eastAsia="ヒラギノ角ゴ Pro W3" w:hAnsi="Times New Roman" w:cs="Times New Roman"/>
          <w:bCs/>
          <w:sz w:val="20"/>
        </w:rPr>
      </w:pPr>
      <w:r>
        <w:rPr>
          <w:rFonts w:ascii="Times New Roman" w:hAnsi="Times New Roman"/>
          <w:sz w:val="20"/>
        </w:rPr>
        <w:t>Further information on additional readings for an in-depth study of the subject (practices, research works, tools, etc.) will be made available during classes.</w:t>
      </w:r>
    </w:p>
    <w:p w14:paraId="0F5CDCE1" w14:textId="4DB0F172" w:rsidR="000A666D" w:rsidRPr="00301F05" w:rsidRDefault="00961E34" w:rsidP="00AE2255">
      <w:pPr>
        <w:spacing w:before="240" w:after="120" w:line="240" w:lineRule="exact"/>
        <w:jc w:val="both"/>
        <w:rPr>
          <w:rFonts w:ascii="Times New Roman" w:eastAsia="ヒラギノ角ゴ Pro W3" w:hAnsi="Times New Roman" w:cs="Times New Roman"/>
          <w:b/>
          <w:bCs/>
          <w:i/>
          <w:sz w:val="18"/>
          <w:szCs w:val="18"/>
        </w:rPr>
      </w:pPr>
      <w:r>
        <w:rPr>
          <w:rFonts w:ascii="Times New Roman" w:hAnsi="Times New Roman"/>
          <w:b/>
          <w:i/>
          <w:sz w:val="18"/>
        </w:rPr>
        <w:t>TEACHING METHOD</w:t>
      </w:r>
    </w:p>
    <w:p w14:paraId="7892636D" w14:textId="77777777" w:rsidR="000A666D" w:rsidRDefault="000A666D" w:rsidP="00AE2255">
      <w:pPr>
        <w:pStyle w:val="Testo2"/>
        <w:spacing w:line="240" w:lineRule="exact"/>
        <w:rPr>
          <w:rFonts w:eastAsia="ヒラギノ角ゴ Pro W3"/>
        </w:rPr>
      </w:pPr>
      <w:r>
        <w:t>The workshop promotes an active teaching method, such as: discussions, works to be carried out in small groups, case studies, and guided practical activities. Therefore, students are invited to actively participate in class in order to be able to learn through the proposed practical activities.</w:t>
      </w:r>
    </w:p>
    <w:p w14:paraId="52CCA9F8" w14:textId="555671C9" w:rsidR="003C1C49" w:rsidRPr="00301F05" w:rsidRDefault="00961E34" w:rsidP="00AE2255">
      <w:pPr>
        <w:spacing w:before="240" w:after="120" w:line="240" w:lineRule="exact"/>
        <w:jc w:val="both"/>
        <w:rPr>
          <w:rFonts w:ascii="Times New Roman" w:eastAsia="ヒラギノ角ゴ Pro W3" w:hAnsi="Times New Roman" w:cs="Times New Roman"/>
          <w:b/>
          <w:bCs/>
          <w:i/>
          <w:sz w:val="18"/>
          <w:szCs w:val="18"/>
        </w:rPr>
      </w:pPr>
      <w:r>
        <w:rPr>
          <w:rFonts w:ascii="Times New Roman" w:hAnsi="Times New Roman"/>
          <w:b/>
          <w:i/>
          <w:sz w:val="18"/>
        </w:rPr>
        <w:t>ASSESSMENT METHOD</w:t>
      </w:r>
      <w:r w:rsidR="003C1C49">
        <w:rPr>
          <w:rFonts w:ascii="Times New Roman" w:hAnsi="Times New Roman"/>
          <w:b/>
          <w:i/>
          <w:sz w:val="18"/>
        </w:rPr>
        <w:t xml:space="preserve"> AND CRITERIA</w:t>
      </w:r>
    </w:p>
    <w:p w14:paraId="10A182F0" w14:textId="740A3C7A" w:rsidR="003C1C49" w:rsidRDefault="003C1C49" w:rsidP="00AE2255">
      <w:pPr>
        <w:pStyle w:val="Testo2"/>
        <w:spacing w:line="240" w:lineRule="exact"/>
        <w:rPr>
          <w:rFonts w:eastAsia="ヒラギノ角ゴ Pro W3"/>
        </w:rPr>
      </w:pPr>
      <w:r>
        <w:t>In order to pass the workshop, students will have to participate to the activities carried out in class in small groups for the total amount of hours required.</w:t>
      </w:r>
    </w:p>
    <w:p w14:paraId="1F28DD9F" w14:textId="4F2B3BC3" w:rsidR="003C1C49" w:rsidRPr="00301F05" w:rsidRDefault="003C1C49" w:rsidP="00AE2255">
      <w:pPr>
        <w:spacing w:before="240" w:after="120" w:line="240" w:lineRule="exact"/>
        <w:jc w:val="both"/>
        <w:rPr>
          <w:rFonts w:ascii="Times New Roman" w:eastAsia="ヒラギノ角ゴ Pro W3" w:hAnsi="Times New Roman" w:cs="Times New Roman"/>
          <w:b/>
          <w:bCs/>
          <w:i/>
          <w:sz w:val="18"/>
          <w:szCs w:val="18"/>
        </w:rPr>
      </w:pPr>
      <w:r>
        <w:rPr>
          <w:rFonts w:ascii="Times New Roman" w:hAnsi="Times New Roman"/>
          <w:b/>
          <w:i/>
          <w:sz w:val="18"/>
        </w:rPr>
        <w:t>NOTES AND PREREQUISITES</w:t>
      </w:r>
    </w:p>
    <w:p w14:paraId="7EA24FBB" w14:textId="77777777" w:rsidR="00D43A74" w:rsidRPr="00FB7C1D" w:rsidRDefault="00D43A74" w:rsidP="00D43A74">
      <w:pPr>
        <w:pStyle w:val="Testo2"/>
        <w:spacing w:before="120"/>
        <w:rPr>
          <w:rFonts w:eastAsiaTheme="minorHAnsi" w:cs="Times"/>
          <w:szCs w:val="18"/>
        </w:rPr>
      </w:pPr>
      <w:r>
        <w:rPr>
          <w:color w:val="000000"/>
        </w:rPr>
        <w:t xml:space="preserve">Further information can be found on the lecturer's webpage at </w:t>
      </w:r>
      <w:hyperlink r:id="rId6" w:history="1">
        <w:r>
          <w:rPr>
            <w:color w:val="0000FF"/>
            <w:u w:val="single"/>
          </w:rPr>
          <w:t>http://docenti.unicatt.it/web/searchByName.do?language=ENG</w:t>
        </w:r>
      </w:hyperlink>
      <w:r>
        <w:t xml:space="preserve"> or on the Faculty notice board.</w:t>
      </w:r>
    </w:p>
    <w:p w14:paraId="108A4E0E" w14:textId="4046FE9B" w:rsidR="008733F7" w:rsidRPr="00C139E7" w:rsidRDefault="008733F7" w:rsidP="00D43A74">
      <w:pPr>
        <w:pStyle w:val="Testo2"/>
        <w:spacing w:line="240" w:lineRule="exact"/>
        <w:rPr>
          <w:rFonts w:eastAsia="ヒラギノ角ゴ Pro W3"/>
        </w:rPr>
      </w:pPr>
    </w:p>
    <w:sectPr w:rsidR="008733F7" w:rsidRPr="00C139E7"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E0669"/>
    <w:multiLevelType w:val="hybridMultilevel"/>
    <w:tmpl w:val="2A927966"/>
    <w:lvl w:ilvl="0" w:tplc="D54ECAB4">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003093"/>
    <w:multiLevelType w:val="hybridMultilevel"/>
    <w:tmpl w:val="6A1C17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AEB4534"/>
    <w:multiLevelType w:val="hybridMultilevel"/>
    <w:tmpl w:val="2766FD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CED0192"/>
    <w:multiLevelType w:val="hybridMultilevel"/>
    <w:tmpl w:val="E5FEDFA2"/>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6B904770"/>
    <w:multiLevelType w:val="hybridMultilevel"/>
    <w:tmpl w:val="B29A4E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F667DE0"/>
    <w:multiLevelType w:val="hybridMultilevel"/>
    <w:tmpl w:val="92B0F9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3AD74C8"/>
    <w:multiLevelType w:val="hybridMultilevel"/>
    <w:tmpl w:val="D8C6B1CA"/>
    <w:lvl w:ilvl="0" w:tplc="EF1A7248">
      <w:numFmt w:val="bullet"/>
      <w:lvlText w:val="-"/>
      <w:lvlJc w:val="left"/>
      <w:pPr>
        <w:ind w:left="1211" w:hanging="360"/>
      </w:pPr>
      <w:rPr>
        <w:rFonts w:ascii="Calibri" w:eastAsiaTheme="minorEastAsia" w:hAnsi="Calibri" w:cs="Calibri"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num w:numId="1" w16cid:durableId="419064762">
    <w:abstractNumId w:val="6"/>
  </w:num>
  <w:num w:numId="2" w16cid:durableId="1693798089">
    <w:abstractNumId w:val="3"/>
  </w:num>
  <w:num w:numId="3" w16cid:durableId="313264708">
    <w:abstractNumId w:val="1"/>
  </w:num>
  <w:num w:numId="4" w16cid:durableId="541406816">
    <w:abstractNumId w:val="0"/>
  </w:num>
  <w:num w:numId="5" w16cid:durableId="321352662">
    <w:abstractNumId w:val="4"/>
  </w:num>
  <w:num w:numId="6" w16cid:durableId="2062484678">
    <w:abstractNumId w:val="2"/>
  </w:num>
  <w:num w:numId="7" w16cid:durableId="5076715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DB6"/>
    <w:rsid w:val="000A2FC3"/>
    <w:rsid w:val="000A666D"/>
    <w:rsid w:val="000C21BA"/>
    <w:rsid w:val="000C5569"/>
    <w:rsid w:val="00187B99"/>
    <w:rsid w:val="001A4EF8"/>
    <w:rsid w:val="001A517A"/>
    <w:rsid w:val="002014DD"/>
    <w:rsid w:val="00242F08"/>
    <w:rsid w:val="00294A34"/>
    <w:rsid w:val="002D5E17"/>
    <w:rsid w:val="00301F05"/>
    <w:rsid w:val="00323530"/>
    <w:rsid w:val="0038132B"/>
    <w:rsid w:val="003C1C49"/>
    <w:rsid w:val="003C1C7F"/>
    <w:rsid w:val="004037E9"/>
    <w:rsid w:val="004736B9"/>
    <w:rsid w:val="004D1217"/>
    <w:rsid w:val="004D6008"/>
    <w:rsid w:val="005A698D"/>
    <w:rsid w:val="005E204A"/>
    <w:rsid w:val="00621974"/>
    <w:rsid w:val="00640794"/>
    <w:rsid w:val="00647821"/>
    <w:rsid w:val="006733A5"/>
    <w:rsid w:val="006E79DE"/>
    <w:rsid w:val="006F1772"/>
    <w:rsid w:val="00717963"/>
    <w:rsid w:val="008733F7"/>
    <w:rsid w:val="008942E7"/>
    <w:rsid w:val="008A1204"/>
    <w:rsid w:val="008C1179"/>
    <w:rsid w:val="008E313F"/>
    <w:rsid w:val="00900CCA"/>
    <w:rsid w:val="00924B77"/>
    <w:rsid w:val="00940DA2"/>
    <w:rsid w:val="00942B31"/>
    <w:rsid w:val="00961E34"/>
    <w:rsid w:val="009E055C"/>
    <w:rsid w:val="00A35F46"/>
    <w:rsid w:val="00A4134F"/>
    <w:rsid w:val="00A74F6F"/>
    <w:rsid w:val="00AD7557"/>
    <w:rsid w:val="00AE0AC6"/>
    <w:rsid w:val="00AE2255"/>
    <w:rsid w:val="00B50C5D"/>
    <w:rsid w:val="00B51253"/>
    <w:rsid w:val="00B525CC"/>
    <w:rsid w:val="00C139E7"/>
    <w:rsid w:val="00C3137A"/>
    <w:rsid w:val="00CB416A"/>
    <w:rsid w:val="00CE49AC"/>
    <w:rsid w:val="00D404F2"/>
    <w:rsid w:val="00D43A74"/>
    <w:rsid w:val="00D76C35"/>
    <w:rsid w:val="00E607E6"/>
    <w:rsid w:val="00FE0D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C49B7F"/>
  <w15:chartTrackingRefBased/>
  <w15:docId w15:val="{C8B55BFD-46AA-4A5D-AF16-302303789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94A34"/>
    <w:pPr>
      <w:spacing w:after="160" w:line="259" w:lineRule="auto"/>
    </w:pPr>
    <w:rPr>
      <w:rFonts w:asciiTheme="minorHAnsi" w:eastAsiaTheme="minorEastAsia" w:hAnsiTheme="minorHAnsi" w:cstheme="minorBidi"/>
      <w:sz w:val="22"/>
      <w:szCs w:val="22"/>
      <w:lang w:eastAsia="zh-CN"/>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Default">
    <w:name w:val="Default"/>
    <w:rsid w:val="00294A34"/>
    <w:pPr>
      <w:autoSpaceDE w:val="0"/>
      <w:autoSpaceDN w:val="0"/>
      <w:adjustRightInd w:val="0"/>
    </w:pPr>
    <w:rPr>
      <w:rFonts w:eastAsiaTheme="minorEastAsia"/>
      <w:color w:val="000000"/>
      <w:sz w:val="24"/>
      <w:szCs w:val="24"/>
      <w:lang w:eastAsia="zh-CN"/>
    </w:rPr>
  </w:style>
  <w:style w:type="character" w:styleId="Collegamentoipertestuale">
    <w:name w:val="Hyperlink"/>
    <w:basedOn w:val="Carpredefinitoparagrafo"/>
    <w:uiPriority w:val="99"/>
    <w:unhideWhenUsed/>
    <w:rsid w:val="008733F7"/>
    <w:rPr>
      <w:color w:val="0563C1" w:themeColor="hyperlink"/>
      <w:u w:val="single"/>
    </w:rPr>
  </w:style>
  <w:style w:type="paragraph" w:styleId="Paragrafoelenco">
    <w:name w:val="List Paragraph"/>
    <w:basedOn w:val="Normale"/>
    <w:uiPriority w:val="34"/>
    <w:qFormat/>
    <w:rsid w:val="00717963"/>
    <w:pPr>
      <w:ind w:left="720"/>
      <w:contextualSpacing/>
    </w:pPr>
  </w:style>
  <w:style w:type="character" w:styleId="Rimandocommento">
    <w:name w:val="annotation reference"/>
    <w:basedOn w:val="Carpredefinitoparagrafo"/>
    <w:rsid w:val="00D76C35"/>
    <w:rPr>
      <w:sz w:val="16"/>
      <w:szCs w:val="16"/>
    </w:rPr>
  </w:style>
  <w:style w:type="paragraph" w:styleId="Testocommento">
    <w:name w:val="annotation text"/>
    <w:basedOn w:val="Normale"/>
    <w:link w:val="TestocommentoCarattere"/>
    <w:rsid w:val="00D76C35"/>
    <w:pPr>
      <w:spacing w:line="240" w:lineRule="auto"/>
    </w:pPr>
    <w:rPr>
      <w:sz w:val="20"/>
      <w:szCs w:val="20"/>
    </w:rPr>
  </w:style>
  <w:style w:type="character" w:customStyle="1" w:styleId="TestocommentoCarattere">
    <w:name w:val="Testo commento Carattere"/>
    <w:basedOn w:val="Carpredefinitoparagrafo"/>
    <w:link w:val="Testocommento"/>
    <w:rsid w:val="00D76C35"/>
    <w:rPr>
      <w:rFonts w:asciiTheme="minorHAnsi" w:eastAsiaTheme="minorEastAsia" w:hAnsiTheme="minorHAnsi" w:cstheme="minorBidi"/>
      <w:lang w:eastAsia="zh-CN"/>
    </w:rPr>
  </w:style>
  <w:style w:type="paragraph" w:styleId="Soggettocommento">
    <w:name w:val="annotation subject"/>
    <w:basedOn w:val="Testocommento"/>
    <w:next w:val="Testocommento"/>
    <w:link w:val="SoggettocommentoCarattere"/>
    <w:semiHidden/>
    <w:unhideWhenUsed/>
    <w:rsid w:val="00D76C35"/>
    <w:rPr>
      <w:b/>
      <w:bCs/>
    </w:rPr>
  </w:style>
  <w:style w:type="character" w:customStyle="1" w:styleId="SoggettocommentoCarattere">
    <w:name w:val="Soggetto commento Carattere"/>
    <w:basedOn w:val="TestocommentoCarattere"/>
    <w:link w:val="Soggettocommento"/>
    <w:semiHidden/>
    <w:rsid w:val="00D76C35"/>
    <w:rPr>
      <w:rFonts w:asciiTheme="minorHAnsi" w:eastAsiaTheme="minorEastAsia" w:hAnsiTheme="minorHAnsi" w:cstheme="minorBidi"/>
      <w:b/>
      <w:bCs/>
      <w:lang w:eastAsia="zh-CN"/>
    </w:rPr>
  </w:style>
  <w:style w:type="character" w:customStyle="1" w:styleId="Menzionenonrisolta1">
    <w:name w:val="Menzione non risolta1"/>
    <w:basedOn w:val="Carpredefinitoparagrafo"/>
    <w:uiPriority w:val="99"/>
    <w:semiHidden/>
    <w:unhideWhenUsed/>
    <w:rsid w:val="003C1C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enti.unicatt.it/web/searchByName.do?language=E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7F623-7F70-44D2-A615-1CF126599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2700</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Bisello Stefano</cp:lastModifiedBy>
  <cp:revision>4</cp:revision>
  <cp:lastPrinted>2003-03-27T10:42:00Z</cp:lastPrinted>
  <dcterms:created xsi:type="dcterms:W3CDTF">2023-10-13T11:26:00Z</dcterms:created>
  <dcterms:modified xsi:type="dcterms:W3CDTF">2024-01-10T13:15:00Z</dcterms:modified>
</cp:coreProperties>
</file>