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1C0" w14:textId="45351520" w:rsidR="00591DD2" w:rsidRPr="00FE3729" w:rsidRDefault="006C2C2F" w:rsidP="001635CA">
      <w:pPr>
        <w:pStyle w:val="Titolo1"/>
        <w:spacing w:before="0"/>
      </w:pPr>
      <w:r w:rsidRPr="00FE3729">
        <w:t>Financial Intermediation</w:t>
      </w:r>
    </w:p>
    <w:p w14:paraId="2C416039" w14:textId="1B2F1C8A" w:rsidR="00591DD2" w:rsidRPr="00FE3729" w:rsidRDefault="00413611" w:rsidP="00591DD2">
      <w:pPr>
        <w:pStyle w:val="Titolo2"/>
      </w:pPr>
      <w:r w:rsidRPr="00FE3729">
        <w:t>Prof</w:t>
      </w:r>
      <w:r w:rsidR="00110A55" w:rsidRPr="00FE3729">
        <w:t>.</w:t>
      </w:r>
      <w:r w:rsidR="001635CA" w:rsidRPr="00FE3729">
        <w:t xml:space="preserve"> </w:t>
      </w:r>
      <w:r w:rsidR="00AF55EA" w:rsidRPr="00FE3729">
        <w:t xml:space="preserve">Elena Beccalli - Prof. </w:t>
      </w:r>
      <w:r w:rsidR="001635CA" w:rsidRPr="00FE3729">
        <w:t>Francesca Pampurini</w:t>
      </w:r>
    </w:p>
    <w:p w14:paraId="63152CA4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</w:t>
      </w:r>
      <w:r w:rsidR="001635CA">
        <w:rPr>
          <w:rFonts w:ascii="Times" w:hAnsi="Times"/>
          <w:b/>
          <w:i/>
          <w:sz w:val="18"/>
          <w:lang w:val="en-GB"/>
        </w:rPr>
        <w:t>INTEND</w:t>
      </w:r>
      <w:r w:rsidR="0080268F">
        <w:rPr>
          <w:rFonts w:ascii="Times" w:hAnsi="Times"/>
          <w:b/>
          <w:i/>
          <w:sz w:val="18"/>
          <w:lang w:val="en-GB"/>
        </w:rPr>
        <w:t>ED LEARNING OUTCOMES</w:t>
      </w:r>
    </w:p>
    <w:p w14:paraId="455CAAB2" w14:textId="77777777" w:rsidR="006C069C" w:rsidRDefault="006C069C" w:rsidP="006C069C">
      <w:pPr>
        <w:autoSpaceDE w:val="0"/>
        <w:autoSpaceDN w:val="0"/>
        <w:adjustRightInd w:val="0"/>
        <w:spacing w:line="240" w:lineRule="exact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</w:t>
      </w:r>
      <w:r w:rsidRPr="00B87F6C">
        <w:rPr>
          <w:lang w:val="en-GB"/>
        </w:rPr>
        <w:t>is designed to provide the student with a</w:t>
      </w:r>
      <w:r>
        <w:rPr>
          <w:lang w:val="en-GB"/>
        </w:rPr>
        <w:t>n overall view</w:t>
      </w:r>
      <w:r w:rsidRPr="00B87F6C">
        <w:rPr>
          <w:lang w:val="en-GB"/>
        </w:rPr>
        <w:t xml:space="preserve"> </w:t>
      </w:r>
      <w:r>
        <w:rPr>
          <w:rFonts w:ascii="Times" w:hAnsi="Times"/>
          <w:bCs/>
          <w:iCs/>
          <w:lang w:val="en-GB"/>
        </w:rPr>
        <w:t xml:space="preserve">of the </w:t>
      </w:r>
      <w:r w:rsidRPr="00B87F6C">
        <w:rPr>
          <w:lang w:val="en-GB"/>
        </w:rPr>
        <w:t xml:space="preserve">institutional </w:t>
      </w:r>
      <w:r>
        <w:rPr>
          <w:lang w:val="en-GB"/>
        </w:rPr>
        <w:t xml:space="preserve">and </w:t>
      </w:r>
      <w:r w:rsidRPr="00B87F6C">
        <w:rPr>
          <w:lang w:val="en-GB"/>
        </w:rPr>
        <w:t xml:space="preserve">organisational frameworks of the main financial systems </w:t>
      </w:r>
      <w:r w:rsidRPr="00A46F2B">
        <w:rPr>
          <w:rFonts w:ascii="Times" w:hAnsi="Times"/>
          <w:bCs/>
          <w:iCs/>
          <w:lang w:val="en-GB"/>
        </w:rPr>
        <w:t xml:space="preserve">main types of </w:t>
      </w:r>
      <w:r>
        <w:rPr>
          <w:rFonts w:ascii="Times" w:hAnsi="Times"/>
          <w:bCs/>
          <w:iCs/>
          <w:lang w:val="en-GB"/>
        </w:rPr>
        <w:t xml:space="preserve">financial instruments that are available for issuers and investors. The course covers: (i) in module 1: the functions of financial systems, the </w:t>
      </w:r>
      <w:r w:rsidRPr="00B87F6C">
        <w:rPr>
          <w:lang w:val="en-GB"/>
        </w:rPr>
        <w:t xml:space="preserve">types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intermediaries</w:t>
      </w:r>
      <w:r>
        <w:rPr>
          <w:lang w:val="en-GB"/>
        </w:rPr>
        <w:t xml:space="preserve">, </w:t>
      </w:r>
      <w:r w:rsidRPr="00B87F6C">
        <w:rPr>
          <w:lang w:val="en-GB"/>
        </w:rPr>
        <w:t>and the different operating models adopted by banks</w:t>
      </w:r>
      <w:r>
        <w:rPr>
          <w:lang w:val="en-GB"/>
        </w:rPr>
        <w:t>;</w:t>
      </w:r>
      <w:r>
        <w:rPr>
          <w:rFonts w:ascii="Times" w:hAnsi="Times"/>
          <w:bCs/>
          <w:iCs/>
          <w:lang w:val="en-GB"/>
        </w:rPr>
        <w:t xml:space="preserve"> (ii) in module 2: the types of financial instruments, the </w:t>
      </w:r>
      <w:r w:rsidRPr="00B87F6C">
        <w:rPr>
          <w:lang w:val="en-GB"/>
        </w:rPr>
        <w:t xml:space="preserve">structural and operational characteristics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markets</w:t>
      </w:r>
      <w:r>
        <w:rPr>
          <w:lang w:val="en-GB"/>
        </w:rPr>
        <w:t xml:space="preserve">, and </w:t>
      </w:r>
      <w:r>
        <w:rPr>
          <w:rFonts w:ascii="Times" w:hAnsi="Times"/>
          <w:bCs/>
          <w:iCs/>
          <w:lang w:val="en-GB"/>
        </w:rPr>
        <w:t>the main approaches to negotiations.</w:t>
      </w:r>
    </w:p>
    <w:p w14:paraId="0BB48DC3" w14:textId="77777777" w:rsidR="006C069C" w:rsidRPr="00B87F6C" w:rsidRDefault="006C069C" w:rsidP="006C069C">
      <w:pPr>
        <w:spacing w:before="120"/>
        <w:rPr>
          <w:smallCaps/>
          <w:sz w:val="18"/>
          <w:lang w:val="en-GB"/>
        </w:rPr>
      </w:pPr>
      <w:r w:rsidRPr="00B87F6C">
        <w:rPr>
          <w:smallCaps/>
          <w:sz w:val="18"/>
          <w:lang w:val="en-GB"/>
        </w:rPr>
        <w:t xml:space="preserve">Instructional objectives of the </w:t>
      </w:r>
      <w:r w:rsidRPr="00B87F6C">
        <w:rPr>
          <w:iCs/>
          <w:smallCaps/>
          <w:sz w:val="18"/>
          <w:lang w:val="en-GB"/>
        </w:rPr>
        <w:t>course</w:t>
      </w:r>
    </w:p>
    <w:p w14:paraId="28AF3281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systems </w:t>
      </w:r>
    </w:p>
    <w:p w14:paraId="64314F56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52BD733A" w14:textId="77777777" w:rsidR="006C069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</w:r>
      <w:r>
        <w:rPr>
          <w:lang w:val="en-GB"/>
        </w:rPr>
        <w:t>understanding the main functions of financial systems;</w:t>
      </w:r>
    </w:p>
    <w:p w14:paraId="48FA61DE" w14:textId="4040A6BF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B87F6C">
        <w:rPr>
          <w:lang w:val="en-GB"/>
        </w:rPr>
        <w:t>analysing from a comparative standpoint the nuances of market-based financial systems and bank-based;</w:t>
      </w:r>
    </w:p>
    <w:p w14:paraId="5B44FC86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intermediaries </w:t>
      </w:r>
    </w:p>
    <w:p w14:paraId="00989858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79191E83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>understanding the types of intermediaries, as well as their importance in relation to the different systems;</w:t>
      </w:r>
    </w:p>
    <w:p w14:paraId="53B490C9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 xml:space="preserve">understanding the distinctive aspects of </w:t>
      </w:r>
      <w:r>
        <w:rPr>
          <w:lang w:val="en-GB"/>
        </w:rPr>
        <w:t xml:space="preserve">bank management and </w:t>
      </w:r>
      <w:r w:rsidRPr="00B87F6C">
        <w:rPr>
          <w:lang w:val="en-GB"/>
        </w:rPr>
        <w:t xml:space="preserve">bank </w:t>
      </w:r>
      <w:r>
        <w:rPr>
          <w:lang w:val="en-GB"/>
        </w:rPr>
        <w:t xml:space="preserve">business </w:t>
      </w:r>
      <w:r w:rsidRPr="00B87F6C">
        <w:rPr>
          <w:lang w:val="en-GB"/>
        </w:rPr>
        <w:t>models</w:t>
      </w:r>
      <w:r>
        <w:rPr>
          <w:lang w:val="en-GB"/>
        </w:rPr>
        <w:t xml:space="preserve"> (</w:t>
      </w:r>
      <w:r w:rsidRPr="00B87F6C">
        <w:rPr>
          <w:lang w:val="en-GB"/>
        </w:rPr>
        <w:t>originate-</w:t>
      </w:r>
      <w:r>
        <w:rPr>
          <w:lang w:val="en-GB"/>
        </w:rPr>
        <w:t>to</w:t>
      </w:r>
      <w:r w:rsidRPr="00B87F6C">
        <w:rPr>
          <w:lang w:val="en-GB"/>
        </w:rPr>
        <w:t>-distribute and originate-</w:t>
      </w:r>
      <w:r>
        <w:rPr>
          <w:lang w:val="en-GB"/>
        </w:rPr>
        <w:t>to</w:t>
      </w:r>
      <w:r w:rsidRPr="00B87F6C">
        <w:rPr>
          <w:lang w:val="en-GB"/>
        </w:rPr>
        <w:t>-hold</w:t>
      </w:r>
      <w:r>
        <w:rPr>
          <w:lang w:val="en-GB"/>
        </w:rPr>
        <w:t>)</w:t>
      </w:r>
      <w:r w:rsidRPr="00B87F6C">
        <w:rPr>
          <w:lang w:val="en-GB"/>
        </w:rPr>
        <w:t>;</w:t>
      </w:r>
    </w:p>
    <w:p w14:paraId="51083918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 xml:space="preserve">instruments </w:t>
      </w:r>
    </w:p>
    <w:p w14:paraId="43832FF3" w14:textId="77777777" w:rsidR="006C069C" w:rsidRPr="00AF55EA" w:rsidRDefault="006C069C" w:rsidP="006C069C">
      <w:pPr>
        <w:rPr>
          <w:lang w:val="en-GB"/>
        </w:rPr>
      </w:pPr>
      <w:r w:rsidRPr="00AF55EA">
        <w:rPr>
          <w:lang w:val="en-GB"/>
        </w:rPr>
        <w:t>After having completed the study of the material, the student is expected to be capable of:</w:t>
      </w:r>
    </w:p>
    <w:p w14:paraId="1AD35C24" w14:textId="438C9957" w:rsidR="006C069C" w:rsidRPr="00A46F2B" w:rsidRDefault="006C069C" w:rsidP="006C069C">
      <w:pPr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46F2B">
        <w:rPr>
          <w:lang w:val="en-GB"/>
        </w:rPr>
        <w:t xml:space="preserve">recognise and understand the </w:t>
      </w:r>
      <w:r>
        <w:rPr>
          <w:lang w:val="en-GB"/>
        </w:rPr>
        <w:t>differences between different types of financial instruments</w:t>
      </w:r>
      <w:r w:rsidRPr="00A46F2B">
        <w:rPr>
          <w:lang w:val="en-GB"/>
        </w:rPr>
        <w:t>;</w:t>
      </w:r>
    </w:p>
    <w:p w14:paraId="398282E8" w14:textId="0E0BF42F" w:rsidR="006C069C" w:rsidRPr="00AF55EA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F55EA">
        <w:rPr>
          <w:rFonts w:ascii="Times" w:hAnsi="Times"/>
          <w:szCs w:val="28"/>
          <w:lang w:val="en-GB"/>
        </w:rPr>
        <w:t xml:space="preserve">evaluate the performance of different </w:t>
      </w:r>
      <w:r>
        <w:rPr>
          <w:rFonts w:ascii="Times" w:hAnsi="Times"/>
          <w:szCs w:val="28"/>
          <w:lang w:val="en-GB"/>
        </w:rPr>
        <w:t xml:space="preserve">types </w:t>
      </w:r>
      <w:r w:rsidRPr="00AF55EA">
        <w:rPr>
          <w:rFonts w:ascii="Times" w:hAnsi="Times"/>
          <w:szCs w:val="28"/>
          <w:lang w:val="en-GB"/>
        </w:rPr>
        <w:t>of financial instruments;</w:t>
      </w:r>
    </w:p>
    <w:p w14:paraId="5EE4D01A" w14:textId="48EE2B87" w:rsidR="006C069C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FE3729">
        <w:rPr>
          <w:rFonts w:ascii="Times" w:hAnsi="Times"/>
          <w:szCs w:val="28"/>
          <w:lang w:val="en-GB"/>
        </w:rPr>
        <w:t>choose the most appropriate financial instrument with respect to the need of an issuer or an investor.</w:t>
      </w:r>
    </w:p>
    <w:p w14:paraId="0DC3DDEB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>markets</w:t>
      </w:r>
    </w:p>
    <w:p w14:paraId="2E252683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t>After having completed the study of the material, the student is expected to be capable of:</w:t>
      </w:r>
    </w:p>
    <w:p w14:paraId="62433486" w14:textId="4B978C2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5860B2">
        <w:rPr>
          <w:lang w:val="en-GB"/>
        </w:rPr>
        <w:t>rec</w:t>
      </w:r>
      <w:r>
        <w:rPr>
          <w:lang w:val="en-GB"/>
        </w:rPr>
        <w:t>ognise and understand the differences between primary markets and secondary markets</w:t>
      </w:r>
    </w:p>
    <w:p w14:paraId="4742D6B7" w14:textId="71A5AC8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understand the distinctive aspects of quote driven and order driven markets</w:t>
      </w:r>
    </w:p>
    <w:p w14:paraId="6A3402BE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lastRenderedPageBreak/>
        <w:t xml:space="preserve">– </w:t>
      </w:r>
      <w:r>
        <w:rPr>
          <w:lang w:val="en-GB"/>
        </w:rPr>
        <w:t>understand the mechanism of continuous trading</w:t>
      </w:r>
    </w:p>
    <w:p w14:paraId="685A322D" w14:textId="77777777" w:rsidR="006C069C" w:rsidRPr="005860B2" w:rsidRDefault="006C069C" w:rsidP="006C069C">
      <w:pPr>
        <w:rPr>
          <w:lang w:val="en-GB"/>
        </w:rPr>
      </w:pPr>
      <w:r w:rsidRPr="005860B2">
        <w:rPr>
          <w:lang w:val="en-GB"/>
        </w:rPr>
        <w:t xml:space="preserve">– </w:t>
      </w:r>
      <w:r>
        <w:rPr>
          <w:lang w:val="en-GB"/>
        </w:rPr>
        <w:t>recognize the differences between regulated markets and other trading venues.</w:t>
      </w:r>
    </w:p>
    <w:p w14:paraId="344D866C" w14:textId="65F26368" w:rsidR="008A166B" w:rsidRDefault="00A46F2B" w:rsidP="008A166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2579488F" w14:textId="4109B817" w:rsidR="006C069C" w:rsidRPr="00600CC7" w:rsidRDefault="00600CC7" w:rsidP="006C069C">
      <w:pPr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1</w:t>
      </w:r>
      <w:r w:rsidR="0060092C">
        <w:rPr>
          <w:i/>
          <w:iCs/>
          <w:smallCaps/>
          <w:lang w:val="en-GB"/>
        </w:rPr>
        <w:t xml:space="preserve"> (5 CFU)</w:t>
      </w:r>
    </w:p>
    <w:p w14:paraId="38E16D9E" w14:textId="77777777" w:rsidR="006C069C" w:rsidRPr="00264AEA" w:rsidRDefault="006C069C" w:rsidP="00600CC7">
      <w:pPr>
        <w:pStyle w:val="Paragrafoelenco"/>
        <w:numPr>
          <w:ilvl w:val="0"/>
          <w:numId w:val="12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systems </w:t>
      </w:r>
    </w:p>
    <w:p w14:paraId="3B370DCE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>role and functions of financial systems;</w:t>
      </w:r>
    </w:p>
    <w:p w14:paraId="4A1975A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characteristics of financial systems that are mainly market-based and systems mainly oriented to intermediaries (bank-based) in terms of financing methods for companies, composition of financial portfolios of families, forms of financing for businesses and families</w:t>
      </w:r>
      <w:r>
        <w:rPr>
          <w:lang w:val="en-GB"/>
        </w:rPr>
        <w:t>.</w:t>
      </w:r>
    </w:p>
    <w:p w14:paraId="4DC324AA" w14:textId="77777777" w:rsidR="006C069C" w:rsidRPr="00B87F6C" w:rsidRDefault="006C069C" w:rsidP="00600CC7">
      <w:pPr>
        <w:spacing w:before="120"/>
        <w:ind w:left="284" w:hanging="284"/>
        <w:rPr>
          <w:i/>
          <w:iCs/>
          <w:lang w:val="en-GB"/>
        </w:rPr>
      </w:pPr>
      <w:r w:rsidRPr="00B87F6C">
        <w:rPr>
          <w:iCs/>
          <w:lang w:val="en-GB"/>
        </w:rPr>
        <w:t>2</w:t>
      </w:r>
      <w:r w:rsidRPr="00B87F6C">
        <w:rPr>
          <w:i/>
          <w:iCs/>
          <w:lang w:val="en-GB"/>
        </w:rPr>
        <w:t>.</w:t>
      </w:r>
      <w:r w:rsidRPr="00B87F6C">
        <w:rPr>
          <w:i/>
          <w:iCs/>
          <w:lang w:val="en-GB"/>
        </w:rPr>
        <w:tab/>
        <w:t xml:space="preserve">Financial intermediaries </w:t>
      </w:r>
    </w:p>
    <w:p w14:paraId="526272E9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types of intermediaries operating in financial systems and their relative importance in the various systems;</w:t>
      </w:r>
    </w:p>
    <w:p w14:paraId="25DF36BA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>financial intermediation theories;</w:t>
      </w:r>
    </w:p>
    <w:p w14:paraId="7F434E7D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 xml:space="preserve">distinctive features of bank </w:t>
      </w:r>
      <w:r>
        <w:rPr>
          <w:lang w:val="en-GB"/>
        </w:rPr>
        <w:t xml:space="preserve">business </w:t>
      </w:r>
      <w:r w:rsidRPr="00B87F6C">
        <w:rPr>
          <w:lang w:val="en-GB"/>
        </w:rPr>
        <w:t>models;</w:t>
      </w:r>
    </w:p>
    <w:p w14:paraId="5427183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international merger and acquisition processes in the banking sector.</w:t>
      </w:r>
    </w:p>
    <w:p w14:paraId="5DDC9064" w14:textId="7F88276E" w:rsidR="006C069C" w:rsidRPr="00600CC7" w:rsidRDefault="00600CC7" w:rsidP="006C069C">
      <w:pPr>
        <w:spacing w:before="120"/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2</w:t>
      </w:r>
      <w:r w:rsidR="0060092C">
        <w:rPr>
          <w:i/>
          <w:iCs/>
          <w:smallCaps/>
          <w:lang w:val="en-GB"/>
        </w:rPr>
        <w:t xml:space="preserve"> (5 CFU)</w:t>
      </w:r>
    </w:p>
    <w:p w14:paraId="719C378C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instruments</w:t>
      </w:r>
    </w:p>
    <w:p w14:paraId="110BF34B" w14:textId="5AB49E37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Money market instruments;</w:t>
      </w:r>
    </w:p>
    <w:p w14:paraId="12813A6C" w14:textId="2AC99DEC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Government Bonds and Corporate Bonds;</w:t>
      </w:r>
    </w:p>
    <w:p w14:paraId="02AB013A" w14:textId="1A5951AF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Stocks;</w:t>
      </w:r>
    </w:p>
    <w:p w14:paraId="755AC630" w14:textId="4FA79263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OICR, mutual funds and pension funds;</w:t>
      </w:r>
    </w:p>
    <w:p w14:paraId="36722184" w14:textId="3D9BBC03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Derivatives (basic elements).</w:t>
      </w:r>
    </w:p>
    <w:p w14:paraId="6E7D2812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markets</w:t>
      </w:r>
    </w:p>
    <w:p w14:paraId="52773532" w14:textId="03884959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Primary and secondary markets;</w:t>
      </w:r>
    </w:p>
    <w:p w14:paraId="4240A657" w14:textId="2998C6F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Quote driven, order driven and other types of markets;</w:t>
      </w:r>
    </w:p>
    <w:p w14:paraId="453A3604" w14:textId="3C6174A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Call auctions and continuous trading;</w:t>
      </w:r>
    </w:p>
    <w:p w14:paraId="65370C32" w14:textId="2D4B638B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MTF and different trading venues.</w:t>
      </w:r>
    </w:p>
    <w:p w14:paraId="78C7779D" w14:textId="77777777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</w:p>
    <w:p w14:paraId="3DB161BE" w14:textId="77777777" w:rsidR="006C069C" w:rsidRPr="008E2403" w:rsidRDefault="006C069C" w:rsidP="006C069C">
      <w:pPr>
        <w:pStyle w:val="Testo1"/>
        <w:ind w:left="0" w:firstLine="0"/>
        <w:rPr>
          <w:lang w:val="en-US"/>
        </w:rPr>
      </w:pPr>
      <w:r w:rsidRPr="00C34BFA">
        <w:rPr>
          <w:smallCaps/>
          <w:sz w:val="16"/>
          <w:szCs w:val="16"/>
          <w:lang w:val="en-GB"/>
        </w:rPr>
        <w:t xml:space="preserve">E. Beccalli: 2022, </w:t>
      </w:r>
      <w:r w:rsidRPr="00C34BFA">
        <w:rPr>
          <w:i/>
          <w:iCs/>
          <w:sz w:val="16"/>
          <w:szCs w:val="16"/>
          <w:lang w:val="en-GB"/>
        </w:rPr>
        <w:t>Principles of banking and finance</w:t>
      </w:r>
      <w:r w:rsidRPr="00C34BFA">
        <w:rPr>
          <w:smallCaps/>
          <w:sz w:val="16"/>
          <w:szCs w:val="16"/>
          <w:lang w:val="en-GB"/>
        </w:rPr>
        <w:t xml:space="preserve">, </w:t>
      </w:r>
      <w:r w:rsidRPr="00C34BFA">
        <w:rPr>
          <w:sz w:val="16"/>
          <w:szCs w:val="16"/>
          <w:lang w:val="en-GB"/>
        </w:rPr>
        <w:t xml:space="preserve">Vita e </w:t>
      </w:r>
      <w:r>
        <w:rPr>
          <w:sz w:val="16"/>
          <w:szCs w:val="16"/>
          <w:lang w:val="en-GB"/>
        </w:rPr>
        <w:t>P</w:t>
      </w:r>
      <w:r w:rsidRPr="00C34BFA">
        <w:rPr>
          <w:sz w:val="16"/>
          <w:szCs w:val="16"/>
          <w:lang w:val="en-GB"/>
        </w:rPr>
        <w:t>ensiero</w:t>
      </w:r>
      <w:r>
        <w:rPr>
          <w:smallCaps/>
          <w:sz w:val="16"/>
          <w:szCs w:val="16"/>
          <w:lang w:val="en-GB"/>
        </w:rPr>
        <w:t xml:space="preserve">. </w:t>
      </w:r>
    </w:p>
    <w:p w14:paraId="6555B682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1EA60521" w14:textId="51498C82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rFonts w:ascii="Times New Roman" w:hAnsi="Times New Roman"/>
          <w:noProof w:val="0"/>
          <w:szCs w:val="24"/>
          <w:lang w:val="en-GB"/>
        </w:rPr>
        <w:t xml:space="preserve">The course is divided into </w:t>
      </w:r>
      <w:r>
        <w:rPr>
          <w:rFonts w:ascii="Times New Roman" w:hAnsi="Times New Roman"/>
          <w:noProof w:val="0"/>
          <w:szCs w:val="24"/>
          <w:lang w:val="en-GB"/>
        </w:rPr>
        <w:t xml:space="preserve">two modules (Module 1 professor Elena Beccalli; module 2 professor Francesca Pampurini)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of </w:t>
      </w:r>
      <w:r>
        <w:rPr>
          <w:rFonts w:ascii="Times New Roman" w:hAnsi="Times New Roman"/>
          <w:noProof w:val="0"/>
          <w:szCs w:val="24"/>
          <w:lang w:val="en-GB"/>
        </w:rPr>
        <w:t xml:space="preserve">lectures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carried out with the aid of slides and other support material. The course includes frontal lectures by the lecturer (95% of the course) and the participation of field experts in co-presence with the lecturer (5%). </w:t>
      </w:r>
    </w:p>
    <w:p w14:paraId="621F946F" w14:textId="77777777" w:rsidR="006C069C" w:rsidRPr="006F2672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708E512B" w14:textId="607EABDB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lastRenderedPageBreak/>
        <w:t xml:space="preserve">The examination consists of a written test with </w:t>
      </w:r>
      <w:r>
        <w:rPr>
          <w:noProof w:val="0"/>
          <w:lang w:val="en-GB"/>
        </w:rPr>
        <w:t xml:space="preserve">four </w:t>
      </w:r>
      <w:r w:rsidRPr="00B87F6C">
        <w:rPr>
          <w:noProof w:val="0"/>
          <w:lang w:val="en-GB"/>
        </w:rPr>
        <w:t xml:space="preserve">questions; the test will run for </w:t>
      </w:r>
      <w:r>
        <w:rPr>
          <w:noProof w:val="0"/>
          <w:lang w:val="en-GB"/>
        </w:rPr>
        <w:t xml:space="preserve">60 minutes. The </w:t>
      </w:r>
      <w:r w:rsidRPr="00B87F6C">
        <w:rPr>
          <w:noProof w:val="0"/>
          <w:lang w:val="en-GB"/>
        </w:rPr>
        <w:t>questions are open-ended questions relating to points 1, 2, 3 and 4 of the course content.</w:t>
      </w:r>
    </w:p>
    <w:p w14:paraId="1ECCDF93" w14:textId="77777777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t>The final mark, on a 30-point scale, will be based on the:</w:t>
      </w:r>
    </w:p>
    <w:p w14:paraId="34A9D51B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students’ knowledge and understanding of the topics assessed through open-ended questions aimed at exhaustively covering the topics of the course in order to verify the student's ability to formulate correct and thorough answers (50%) and appropriately use the specific terminology (10%); </w:t>
      </w:r>
    </w:p>
    <w:p w14:paraId="72614A51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ability to apply the knowledge assessed through open-ended questions, also based on the analysis of tables and graphs referred to real data (mainly in relation to point 1 of the course content), aimed at verifying the student's ability to interpret complex phenomena through trend data ( 30%); </w:t>
      </w:r>
    </w:p>
    <w:p w14:paraId="196CF9A4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critical analysis skills assessed through sub-points of open-ended questions (mainly in relation to point 4 of the course content), aimed at verifying the student's ability to critically analyse some complex phenomena (10%). </w:t>
      </w:r>
    </w:p>
    <w:p w14:paraId="3AFF634E" w14:textId="77777777" w:rsidR="006C069C" w:rsidRPr="00B87F6C" w:rsidRDefault="006C069C" w:rsidP="006C069C">
      <w:pPr>
        <w:spacing w:line="220" w:lineRule="exact"/>
        <w:ind w:firstLine="284"/>
        <w:rPr>
          <w:sz w:val="18"/>
          <w:lang w:val="en-GB"/>
        </w:rPr>
      </w:pPr>
      <w:r w:rsidRPr="00B87F6C">
        <w:rPr>
          <w:sz w:val="18"/>
          <w:lang w:val="en-GB"/>
        </w:rPr>
        <w:t xml:space="preserve">The course also includes the possibility to take an </w:t>
      </w:r>
      <w:r>
        <w:rPr>
          <w:sz w:val="18"/>
          <w:lang w:val="en-GB"/>
        </w:rPr>
        <w:t xml:space="preserve">early </w:t>
      </w:r>
      <w:r w:rsidRPr="00B87F6C">
        <w:rPr>
          <w:sz w:val="18"/>
          <w:lang w:val="en-GB"/>
        </w:rPr>
        <w:t xml:space="preserve">exam, specifically structured to favour students who have regularly attended lectures. The date of this exam is agreed with the students according to the </w:t>
      </w:r>
      <w:r>
        <w:rPr>
          <w:sz w:val="18"/>
          <w:lang w:val="en-GB"/>
        </w:rPr>
        <w:t>School</w:t>
      </w:r>
      <w:r w:rsidRPr="00B87F6C">
        <w:rPr>
          <w:sz w:val="18"/>
          <w:lang w:val="en-GB"/>
        </w:rPr>
        <w:t xml:space="preserve">'s academic calendar.  </w:t>
      </w:r>
    </w:p>
    <w:p w14:paraId="72916D64" w14:textId="77777777" w:rsidR="006C069C" w:rsidRDefault="006C069C" w:rsidP="006C069C">
      <w:pPr>
        <w:spacing w:line="240" w:lineRule="exact"/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If exceptionally students require to take an </w:t>
      </w:r>
      <w:r w:rsidRPr="00B87F6C">
        <w:rPr>
          <w:sz w:val="18"/>
          <w:lang w:val="en-GB"/>
        </w:rPr>
        <w:t>oral exam</w:t>
      </w:r>
      <w:r>
        <w:rPr>
          <w:sz w:val="18"/>
          <w:lang w:val="en-GB"/>
        </w:rPr>
        <w:t>,</w:t>
      </w:r>
      <w:r w:rsidRPr="00B87F6C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it </w:t>
      </w:r>
      <w:r w:rsidRPr="00B87F6C">
        <w:rPr>
          <w:sz w:val="18"/>
          <w:lang w:val="en-GB"/>
        </w:rPr>
        <w:t xml:space="preserve">is a second optional test, but it is not integrative (i.e. the mark of the oral exam is averaged with the mark of the written test). </w:t>
      </w:r>
    </w:p>
    <w:p w14:paraId="3F66FF39" w14:textId="77777777" w:rsidR="006C069C" w:rsidRPr="00486AEB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  <w:r>
        <w:rPr>
          <w:rFonts w:ascii="Times" w:hAnsi="Times"/>
          <w:b/>
          <w:i/>
          <w:sz w:val="18"/>
          <w:lang w:val="en-GB"/>
        </w:rPr>
        <w:t xml:space="preserve"> AND PREREQUISITES</w:t>
      </w:r>
    </w:p>
    <w:p w14:paraId="5FA738D8" w14:textId="77777777" w:rsidR="006C069C" w:rsidRPr="001635CA" w:rsidRDefault="006C069C" w:rsidP="006C069C">
      <w:pPr>
        <w:spacing w:before="120" w:line="240" w:lineRule="exact"/>
        <w:ind w:firstLine="284"/>
        <w:jc w:val="both"/>
        <w:rPr>
          <w:rFonts w:ascii="Times" w:hAnsi="Times"/>
          <w:i/>
          <w:sz w:val="18"/>
          <w:lang w:val="en-GB"/>
        </w:rPr>
      </w:pPr>
      <w:r w:rsidRPr="001635CA">
        <w:rPr>
          <w:rFonts w:ascii="Times" w:hAnsi="Times"/>
          <w:i/>
          <w:sz w:val="18"/>
          <w:lang w:val="en-GB"/>
        </w:rPr>
        <w:t>Office hours</w:t>
      </w:r>
    </w:p>
    <w:p w14:paraId="2D3C9B79" w14:textId="77777777" w:rsidR="006C069C" w:rsidRPr="00AA0BF2" w:rsidRDefault="006C069C" w:rsidP="006C069C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For Professor Elena Beccalli, office hours take place </w:t>
      </w:r>
      <w:r w:rsidRPr="00404075">
        <w:rPr>
          <w:noProof w:val="0"/>
          <w:lang w:val="en-GB"/>
        </w:rPr>
        <w:t xml:space="preserve">on Wednesdays from 16.00 at the </w:t>
      </w:r>
      <w:r>
        <w:rPr>
          <w:noProof w:val="0"/>
          <w:lang w:val="en-GB"/>
        </w:rPr>
        <w:t xml:space="preserve">Dean’s Office </w:t>
      </w:r>
      <w:r w:rsidRPr="00404075">
        <w:rPr>
          <w:noProof w:val="0"/>
          <w:lang w:val="en-GB"/>
        </w:rPr>
        <w:t xml:space="preserve">of the </w:t>
      </w:r>
      <w:r>
        <w:rPr>
          <w:noProof w:val="0"/>
          <w:lang w:val="en-GB"/>
        </w:rPr>
        <w:t xml:space="preserve">School </w:t>
      </w:r>
      <w:r w:rsidRPr="00404075">
        <w:rPr>
          <w:noProof w:val="0"/>
          <w:lang w:val="en-GB"/>
        </w:rPr>
        <w:t>of Banking, Financial and Insurance Sciences (Largo Gemelli 1).</w:t>
      </w:r>
    </w:p>
    <w:p w14:paraId="0925451B" w14:textId="44D3F1A1" w:rsidR="006C069C" w:rsidRDefault="006C069C" w:rsidP="006C069C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sz w:val="18"/>
          <w:lang w:val="en-GB"/>
        </w:rPr>
        <w:t>For Professor Francesca Pampurini,</w:t>
      </w:r>
      <w:r w:rsidR="00CE6DB6">
        <w:rPr>
          <w:rFonts w:ascii="Times" w:hAnsi="Times"/>
          <w:sz w:val="18"/>
          <w:lang w:val="en-GB"/>
        </w:rPr>
        <w:t xml:space="preserve"> </w:t>
      </w:r>
      <w:r w:rsidR="0060092C">
        <w:rPr>
          <w:rFonts w:ascii="Times" w:hAnsi="Times"/>
          <w:sz w:val="18"/>
          <w:lang w:val="en-GB"/>
        </w:rPr>
        <w:t xml:space="preserve">please </w:t>
      </w:r>
      <w:r w:rsidR="00CE6DB6">
        <w:rPr>
          <w:rFonts w:ascii="Times" w:hAnsi="Times"/>
          <w:sz w:val="18"/>
          <w:lang w:val="en-GB"/>
        </w:rPr>
        <w:t>check her webpage</w:t>
      </w:r>
      <w:r>
        <w:rPr>
          <w:rFonts w:ascii="Times" w:hAnsi="Times"/>
          <w:sz w:val="18"/>
          <w:lang w:val="en-GB"/>
        </w:rPr>
        <w:t>.</w:t>
      </w:r>
    </w:p>
    <w:sectPr w:rsidR="006C069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C6160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6940A10"/>
    <w:multiLevelType w:val="hybridMultilevel"/>
    <w:tmpl w:val="18B08CC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C825B5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617"/>
    <w:multiLevelType w:val="hybridMultilevel"/>
    <w:tmpl w:val="7FD23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806D18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7F5"/>
    <w:multiLevelType w:val="hybridMultilevel"/>
    <w:tmpl w:val="7BECA5D8"/>
    <w:lvl w:ilvl="0" w:tplc="894A56E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66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7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6D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17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4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5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B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84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182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4F9268A9"/>
    <w:multiLevelType w:val="hybridMultilevel"/>
    <w:tmpl w:val="9B987F5E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880239526">
    <w:abstractNumId w:val="14"/>
  </w:num>
  <w:num w:numId="2" w16cid:durableId="1331132076">
    <w:abstractNumId w:val="15"/>
  </w:num>
  <w:num w:numId="3" w16cid:durableId="102385420">
    <w:abstractNumId w:val="6"/>
  </w:num>
  <w:num w:numId="4" w16cid:durableId="1906717738">
    <w:abstractNumId w:val="7"/>
  </w:num>
  <w:num w:numId="5" w16cid:durableId="1654262910">
    <w:abstractNumId w:val="10"/>
  </w:num>
  <w:num w:numId="6" w16cid:durableId="1085304337">
    <w:abstractNumId w:val="4"/>
  </w:num>
  <w:num w:numId="7" w16cid:durableId="185099375">
    <w:abstractNumId w:val="2"/>
  </w:num>
  <w:num w:numId="8" w16cid:durableId="1483619740">
    <w:abstractNumId w:val="0"/>
  </w:num>
  <w:num w:numId="9" w16cid:durableId="1132136725">
    <w:abstractNumId w:val="3"/>
  </w:num>
  <w:num w:numId="10" w16cid:durableId="2103914048">
    <w:abstractNumId w:val="9"/>
  </w:num>
  <w:num w:numId="11" w16cid:durableId="1555580530">
    <w:abstractNumId w:val="11"/>
  </w:num>
  <w:num w:numId="12" w16cid:durableId="2017683947">
    <w:abstractNumId w:val="1"/>
  </w:num>
  <w:num w:numId="13" w16cid:durableId="848182889">
    <w:abstractNumId w:val="8"/>
  </w:num>
  <w:num w:numId="14" w16cid:durableId="1156798336">
    <w:abstractNumId w:val="12"/>
  </w:num>
  <w:num w:numId="15" w16cid:durableId="529489615">
    <w:abstractNumId w:val="13"/>
  </w:num>
  <w:num w:numId="16" w16cid:durableId="605423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08266E"/>
    <w:rsid w:val="00110A55"/>
    <w:rsid w:val="00114CB3"/>
    <w:rsid w:val="00144FC0"/>
    <w:rsid w:val="001635CA"/>
    <w:rsid w:val="00191187"/>
    <w:rsid w:val="001E26C5"/>
    <w:rsid w:val="00241B87"/>
    <w:rsid w:val="002450AC"/>
    <w:rsid w:val="00247A2F"/>
    <w:rsid w:val="00264AEA"/>
    <w:rsid w:val="00273809"/>
    <w:rsid w:val="002A3E5D"/>
    <w:rsid w:val="002A6439"/>
    <w:rsid w:val="002C1D2B"/>
    <w:rsid w:val="002F4504"/>
    <w:rsid w:val="002F7579"/>
    <w:rsid w:val="003004F1"/>
    <w:rsid w:val="003920A6"/>
    <w:rsid w:val="003D3F8C"/>
    <w:rsid w:val="00406F7A"/>
    <w:rsid w:val="00413611"/>
    <w:rsid w:val="00417B39"/>
    <w:rsid w:val="00434853"/>
    <w:rsid w:val="004728FA"/>
    <w:rsid w:val="00486AEB"/>
    <w:rsid w:val="00486C44"/>
    <w:rsid w:val="004A60AE"/>
    <w:rsid w:val="004D47BE"/>
    <w:rsid w:val="00541902"/>
    <w:rsid w:val="0056256A"/>
    <w:rsid w:val="005860B2"/>
    <w:rsid w:val="0058620C"/>
    <w:rsid w:val="00591DD2"/>
    <w:rsid w:val="005C4155"/>
    <w:rsid w:val="0060092C"/>
    <w:rsid w:val="00600CC7"/>
    <w:rsid w:val="006019CB"/>
    <w:rsid w:val="00621B7F"/>
    <w:rsid w:val="006404CA"/>
    <w:rsid w:val="006734EB"/>
    <w:rsid w:val="006C069C"/>
    <w:rsid w:val="006C2C2F"/>
    <w:rsid w:val="006C2F38"/>
    <w:rsid w:val="006F2672"/>
    <w:rsid w:val="0080268F"/>
    <w:rsid w:val="0082644C"/>
    <w:rsid w:val="0087251A"/>
    <w:rsid w:val="008741AF"/>
    <w:rsid w:val="008A166B"/>
    <w:rsid w:val="008A3954"/>
    <w:rsid w:val="008A5C40"/>
    <w:rsid w:val="008D742F"/>
    <w:rsid w:val="008E2403"/>
    <w:rsid w:val="00947913"/>
    <w:rsid w:val="009638F4"/>
    <w:rsid w:val="009639D6"/>
    <w:rsid w:val="009929EC"/>
    <w:rsid w:val="009F43A8"/>
    <w:rsid w:val="009F47F9"/>
    <w:rsid w:val="00A11229"/>
    <w:rsid w:val="00A46F2B"/>
    <w:rsid w:val="00A96A64"/>
    <w:rsid w:val="00AE3267"/>
    <w:rsid w:val="00AF309F"/>
    <w:rsid w:val="00AF55EA"/>
    <w:rsid w:val="00BC3B4C"/>
    <w:rsid w:val="00BC5B69"/>
    <w:rsid w:val="00C00670"/>
    <w:rsid w:val="00C05D51"/>
    <w:rsid w:val="00C150DC"/>
    <w:rsid w:val="00CB14DB"/>
    <w:rsid w:val="00CD658F"/>
    <w:rsid w:val="00CE6DB6"/>
    <w:rsid w:val="00D1392E"/>
    <w:rsid w:val="00D24D3D"/>
    <w:rsid w:val="00D5128F"/>
    <w:rsid w:val="00D66773"/>
    <w:rsid w:val="00E3723D"/>
    <w:rsid w:val="00E464EF"/>
    <w:rsid w:val="00E63AC0"/>
    <w:rsid w:val="00E743B0"/>
    <w:rsid w:val="00E91886"/>
    <w:rsid w:val="00F8764E"/>
    <w:rsid w:val="00F96DAF"/>
    <w:rsid w:val="00FB21D9"/>
    <w:rsid w:val="00FD48F2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A514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A60A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A60AE"/>
  </w:style>
  <w:style w:type="character" w:customStyle="1" w:styleId="TestocommentoCarattere">
    <w:name w:val="Testo commento Carattere"/>
    <w:basedOn w:val="Carpredefinitoparagrafo"/>
    <w:link w:val="Testocommento"/>
    <w:semiHidden/>
    <w:rsid w:val="004A60A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A6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A60AE"/>
    <w:rPr>
      <w:b/>
      <w:bCs/>
    </w:rPr>
  </w:style>
  <w:style w:type="paragraph" w:styleId="Revisione">
    <w:name w:val="Revision"/>
    <w:hidden/>
    <w:uiPriority w:val="99"/>
    <w:semiHidden/>
    <w:rsid w:val="004A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3A52-7E40-4278-B13D-DDC11039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3</Pages>
  <Words>803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Grassi Monica Barbara</cp:lastModifiedBy>
  <cp:revision>3</cp:revision>
  <cp:lastPrinted>2012-09-11T12:03:00Z</cp:lastPrinted>
  <dcterms:created xsi:type="dcterms:W3CDTF">2023-04-24T13:59:00Z</dcterms:created>
  <dcterms:modified xsi:type="dcterms:W3CDTF">2023-04-24T13:59:00Z</dcterms:modified>
</cp:coreProperties>
</file>