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7E8F" w14:textId="77777777" w:rsidR="0066505E" w:rsidRPr="00B341F2" w:rsidRDefault="0066505E" w:rsidP="0066505E">
      <w:pPr>
        <w:tabs>
          <w:tab w:val="clear" w:pos="284"/>
        </w:tabs>
        <w:spacing w:before="480"/>
        <w:ind w:left="284" w:hanging="284"/>
        <w:jc w:val="left"/>
        <w:outlineLvl w:val="0"/>
        <w:rPr>
          <w:rFonts w:ascii="Times" w:hAnsi="Times"/>
          <w:b/>
          <w:noProof/>
          <w:szCs w:val="20"/>
          <w:lang w:val="en-US"/>
        </w:rPr>
      </w:pPr>
      <w:r w:rsidRPr="00B341F2">
        <w:rPr>
          <w:rFonts w:ascii="Times" w:hAnsi="Times"/>
          <w:b/>
          <w:noProof/>
          <w:szCs w:val="20"/>
          <w:lang w:val="en-US"/>
        </w:rPr>
        <w:t>Corporate finance</w:t>
      </w:r>
    </w:p>
    <w:p w14:paraId="672508EA" w14:textId="77777777" w:rsidR="0066505E" w:rsidRPr="00B341F2" w:rsidRDefault="0066505E" w:rsidP="0066505E">
      <w:pPr>
        <w:tabs>
          <w:tab w:val="clear" w:pos="284"/>
        </w:tabs>
        <w:jc w:val="left"/>
        <w:outlineLvl w:val="1"/>
        <w:rPr>
          <w:rFonts w:ascii="Times" w:hAnsi="Times"/>
          <w:smallCaps/>
          <w:noProof/>
          <w:sz w:val="18"/>
          <w:szCs w:val="20"/>
          <w:lang w:val="en-US"/>
        </w:rPr>
      </w:pPr>
      <w:r w:rsidRPr="00B341F2">
        <w:rPr>
          <w:rFonts w:ascii="Times" w:hAnsi="Times"/>
          <w:smallCaps/>
          <w:noProof/>
          <w:sz w:val="18"/>
          <w:szCs w:val="20"/>
          <w:lang w:val="en-US"/>
        </w:rPr>
        <w:t>Prof. Ettore Croci</w:t>
      </w:r>
    </w:p>
    <w:p w14:paraId="12D3F877" w14:textId="77777777" w:rsidR="0066505E" w:rsidRPr="00514034" w:rsidRDefault="0066505E" w:rsidP="006650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EF9F95" w14:textId="77777777" w:rsidR="0066505E" w:rsidRPr="0066505E" w:rsidRDefault="0066505E" w:rsidP="0066505E">
      <w:pPr>
        <w:rPr>
          <w:szCs w:val="20"/>
          <w:lang w:val="en-US"/>
        </w:rPr>
      </w:pPr>
      <w:r w:rsidRPr="0066505E">
        <w:rPr>
          <w:szCs w:val="20"/>
          <w:lang w:val="en-US"/>
        </w:rPr>
        <w:t>The objective of the course is to provide a good understanding of corporate financial policies. The best way to illustrate corporate finance is to list just a few questions that the course will try to answer: what determines the value of a corporation? How corporations decide their financing sources? Why does a company go public? Or decides to merge with another? Or raise capital? Or pay dividends? For each topic examined, the course will provide a theoretical framework for analyzing it and will review selected case studies. The course is useful for every professional position that deals with: corporate securities, corporate lending, asset management, consulting, private equity, corporations finance. Active participation is encouraged and highly desirable.</w:t>
      </w:r>
    </w:p>
    <w:p w14:paraId="4BC9F35E" w14:textId="77777777" w:rsidR="0066505E" w:rsidRPr="0066505E" w:rsidRDefault="0066505E" w:rsidP="0066505E">
      <w:pPr>
        <w:rPr>
          <w:szCs w:val="20"/>
          <w:lang w:val="en-US"/>
        </w:rPr>
      </w:pPr>
      <w:r w:rsidRPr="0066505E">
        <w:rPr>
          <w:lang w:val="en-US"/>
        </w:rPr>
        <w:t>By the end of the course, students will be able to evaluate corporate decisions, identify and apply different methods and techniques, and assess the adequacy of the results based on theoretical and empirical studies.</w:t>
      </w:r>
    </w:p>
    <w:p w14:paraId="1D8A27A1" w14:textId="77777777" w:rsidR="0066505E" w:rsidRPr="00514034" w:rsidRDefault="0066505E" w:rsidP="0066505E">
      <w:pPr>
        <w:spacing w:before="240" w:after="120"/>
        <w:rPr>
          <w:b/>
          <w:i/>
          <w:sz w:val="18"/>
          <w:lang w:val="en-US"/>
        </w:rPr>
      </w:pPr>
      <w:r w:rsidRPr="00514034">
        <w:rPr>
          <w:b/>
          <w:i/>
          <w:sz w:val="18"/>
          <w:lang w:val="en-US"/>
        </w:rPr>
        <w:t>COURSE CONTENT</w:t>
      </w:r>
    </w:p>
    <w:p w14:paraId="581F1418" w14:textId="77777777" w:rsidR="0066505E" w:rsidRPr="00856D2C" w:rsidRDefault="0066505E" w:rsidP="0066505E">
      <w:pPr>
        <w:spacing w:before="120"/>
        <w:rPr>
          <w:rFonts w:ascii="Times" w:hAnsi="Times"/>
          <w:i/>
          <w:iCs/>
          <w:szCs w:val="20"/>
          <w:lang w:val="en-US"/>
        </w:rPr>
      </w:pPr>
      <w:r w:rsidRPr="00856D2C">
        <w:rPr>
          <w:rFonts w:ascii="Times" w:hAnsi="Times"/>
          <w:szCs w:val="20"/>
          <w:lang w:val="en-US"/>
        </w:rPr>
        <w:t>1.</w:t>
      </w:r>
      <w:r w:rsidRPr="00856D2C">
        <w:rPr>
          <w:rFonts w:ascii="Times" w:hAnsi="Times"/>
          <w:i/>
          <w:szCs w:val="20"/>
          <w:lang w:val="en-US"/>
        </w:rPr>
        <w:tab/>
      </w:r>
      <w:r w:rsidRPr="00856D2C">
        <w:rPr>
          <w:rFonts w:ascii="Times" w:hAnsi="Times"/>
          <w:i/>
          <w:iCs/>
          <w:szCs w:val="20"/>
          <w:lang w:val="en-US"/>
        </w:rPr>
        <w:t xml:space="preserve">Capital structure </w:t>
      </w:r>
      <w:r w:rsidRPr="00856D2C">
        <w:rPr>
          <w:rFonts w:ascii="Times" w:hAnsi="Times"/>
          <w:iCs/>
          <w:szCs w:val="20"/>
          <w:lang w:val="en-US"/>
        </w:rPr>
        <w:t xml:space="preserve">&amp; </w:t>
      </w:r>
      <w:r w:rsidRPr="00856D2C">
        <w:rPr>
          <w:rFonts w:ascii="Times" w:hAnsi="Times"/>
          <w:i/>
          <w:iCs/>
          <w:szCs w:val="20"/>
          <w:lang w:val="en-US"/>
        </w:rPr>
        <w:t>Payout</w:t>
      </w:r>
      <w:r w:rsidRPr="00856D2C">
        <w:rPr>
          <w:rFonts w:ascii="Times" w:hAnsi="Times"/>
          <w:iCs/>
          <w:szCs w:val="20"/>
          <w:lang w:val="en-US"/>
        </w:rPr>
        <w:t xml:space="preserve"> </w:t>
      </w:r>
      <w:r w:rsidRPr="00856D2C">
        <w:rPr>
          <w:rFonts w:ascii="Times" w:hAnsi="Times"/>
          <w:i/>
          <w:iCs/>
          <w:szCs w:val="20"/>
          <w:lang w:val="en-US"/>
        </w:rPr>
        <w:t>policies</w:t>
      </w:r>
    </w:p>
    <w:p w14:paraId="3B52B6EF"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Modigliani and Miller (MM) capital structure irrelevance proposition;</w:t>
      </w:r>
    </w:p>
    <w:p w14:paraId="6F40BCF9"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MM with corporate taxes and costs of financial distress;</w:t>
      </w:r>
    </w:p>
    <w:p w14:paraId="219E879B"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Agency theory of capital structure;</w:t>
      </w:r>
    </w:p>
    <w:p w14:paraId="59C5158E"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Pecking order theory of capital structure;</w:t>
      </w:r>
    </w:p>
    <w:p w14:paraId="78D8D707"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Signaling theories of capital structure;</w:t>
      </w:r>
    </w:p>
    <w:p w14:paraId="31BE1DB5"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r>
      <w:r w:rsidRPr="00856D2C">
        <w:rPr>
          <w:rFonts w:ascii="Times" w:hAnsi="Times"/>
          <w:szCs w:val="20"/>
          <w:lang w:val="en-GB"/>
        </w:rPr>
        <w:t>Managerial incentives and financial decisions</w:t>
      </w:r>
      <w:r w:rsidRPr="00856D2C">
        <w:rPr>
          <w:rFonts w:ascii="Times" w:hAnsi="Times"/>
          <w:iCs/>
          <w:szCs w:val="20"/>
          <w:lang w:val="en-US"/>
        </w:rPr>
        <w:t>;</w:t>
      </w:r>
    </w:p>
    <w:p w14:paraId="65866D76"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Payout policy.</w:t>
      </w:r>
    </w:p>
    <w:p w14:paraId="7122375C"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t>2</w:t>
      </w:r>
      <w:r w:rsidRPr="00856D2C">
        <w:rPr>
          <w:rFonts w:ascii="Times" w:hAnsi="Times"/>
          <w:i/>
          <w:iCs/>
          <w:szCs w:val="20"/>
          <w:lang w:val="en-US"/>
        </w:rPr>
        <w:t>.</w:t>
      </w:r>
      <w:r w:rsidRPr="00856D2C">
        <w:rPr>
          <w:rFonts w:ascii="Times" w:hAnsi="Times"/>
          <w:i/>
          <w:iCs/>
          <w:szCs w:val="20"/>
          <w:lang w:val="en-US"/>
        </w:rPr>
        <w:tab/>
        <w:t>Corporate Valuation</w:t>
      </w:r>
    </w:p>
    <w:p w14:paraId="48B2A90D"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DCF valuation with the WACC method;</w:t>
      </w:r>
    </w:p>
    <w:p w14:paraId="090C2F78"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The Adjusted Present Value method</w:t>
      </w:r>
    </w:p>
    <w:p w14:paraId="3385B69B" w14:textId="77777777" w:rsidR="0066505E" w:rsidRPr="00856D2C" w:rsidRDefault="0066505E" w:rsidP="0066505E">
      <w:pPr>
        <w:rPr>
          <w:rFonts w:ascii="Times" w:hAnsi="Times"/>
          <w:szCs w:val="20"/>
          <w:lang w:val="en-US"/>
        </w:rPr>
      </w:pPr>
      <w:r w:rsidRPr="00856D2C">
        <w:rPr>
          <w:rFonts w:ascii="Times" w:hAnsi="Times"/>
          <w:iCs/>
          <w:szCs w:val="20"/>
          <w:lang w:val="en-US"/>
        </w:rPr>
        <w:t>–</w:t>
      </w:r>
      <w:r w:rsidRPr="00856D2C">
        <w:rPr>
          <w:rFonts w:ascii="Times" w:hAnsi="Times"/>
          <w:iCs/>
          <w:szCs w:val="20"/>
          <w:lang w:val="en-US"/>
        </w:rPr>
        <w:tab/>
        <w:t>Multiple Valuation.</w:t>
      </w:r>
    </w:p>
    <w:p w14:paraId="2BBB3200" w14:textId="77777777" w:rsidR="0066505E" w:rsidRPr="00856D2C" w:rsidRDefault="0066505E" w:rsidP="0066505E">
      <w:pPr>
        <w:spacing w:before="120"/>
        <w:rPr>
          <w:rFonts w:ascii="Times" w:hAnsi="Times"/>
          <w:szCs w:val="20"/>
          <w:lang w:val="en-US"/>
        </w:rPr>
      </w:pPr>
      <w:r w:rsidRPr="00856D2C">
        <w:rPr>
          <w:rFonts w:ascii="Times" w:hAnsi="Times"/>
          <w:iCs/>
          <w:szCs w:val="20"/>
          <w:lang w:val="en-US"/>
        </w:rPr>
        <w:t>3.</w:t>
      </w:r>
      <w:r w:rsidRPr="00856D2C">
        <w:rPr>
          <w:rFonts w:ascii="Times" w:hAnsi="Times"/>
          <w:i/>
          <w:iCs/>
          <w:szCs w:val="20"/>
          <w:lang w:val="en-US"/>
        </w:rPr>
        <w:tab/>
        <w:t xml:space="preserve">Mergers and acquisitions </w:t>
      </w:r>
    </w:p>
    <w:p w14:paraId="4779EDBC"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Motivation for engaging in mergers and acquisitions;</w:t>
      </w:r>
    </w:p>
    <w:p w14:paraId="2BA226EE"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Valuation and bidding issues;</w:t>
      </w:r>
    </w:p>
    <w:p w14:paraId="06BC45F1"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Gains to shareholders in target and bidding firms.</w:t>
      </w:r>
    </w:p>
    <w:p w14:paraId="7FD3DAFB"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Leverage buyouts and private equity.</w:t>
      </w:r>
    </w:p>
    <w:p w14:paraId="7D84C45E"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lastRenderedPageBreak/>
        <w:t>4</w:t>
      </w:r>
      <w:r w:rsidRPr="00856D2C">
        <w:rPr>
          <w:rFonts w:ascii="Times" w:hAnsi="Times"/>
          <w:i/>
          <w:iCs/>
          <w:szCs w:val="20"/>
          <w:lang w:val="en-US"/>
        </w:rPr>
        <w:t>.</w:t>
      </w:r>
      <w:r w:rsidRPr="00856D2C">
        <w:rPr>
          <w:rFonts w:ascii="Times" w:hAnsi="Times"/>
          <w:i/>
          <w:iCs/>
          <w:szCs w:val="20"/>
          <w:lang w:val="en-US"/>
        </w:rPr>
        <w:tab/>
        <w:t>Long-term &amp; Short-term Financing</w:t>
      </w:r>
    </w:p>
    <w:p w14:paraId="696E4DA5"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Raising equity financing (IPOs, SEOs);</w:t>
      </w:r>
    </w:p>
    <w:p w14:paraId="47A5AAC0"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Debt financing;</w:t>
      </w:r>
    </w:p>
    <w:p w14:paraId="39947299"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Leasing;</w:t>
      </w:r>
    </w:p>
    <w:p w14:paraId="0EFD322C"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Working capital &amp; cash management.</w:t>
      </w:r>
    </w:p>
    <w:p w14:paraId="227A8C9D" w14:textId="77777777" w:rsidR="0066505E" w:rsidRPr="00514034" w:rsidRDefault="0066505E" w:rsidP="0066505E">
      <w:pPr>
        <w:spacing w:before="240" w:after="120"/>
        <w:rPr>
          <w:b/>
          <w:i/>
          <w:sz w:val="18"/>
          <w:lang w:val="en-US"/>
        </w:rPr>
      </w:pPr>
      <w:r w:rsidRPr="00514034">
        <w:rPr>
          <w:b/>
          <w:i/>
          <w:sz w:val="18"/>
          <w:lang w:val="en-US"/>
        </w:rPr>
        <w:t>READING LIST</w:t>
      </w:r>
    </w:p>
    <w:p w14:paraId="52713994" w14:textId="77777777" w:rsidR="0066505E" w:rsidRPr="00856D2C" w:rsidRDefault="0066505E" w:rsidP="003138D6">
      <w:pPr>
        <w:pStyle w:val="Testo1"/>
        <w:rPr>
          <w:lang w:val="en-GB"/>
        </w:rPr>
      </w:pPr>
      <w:r w:rsidRPr="00856D2C">
        <w:rPr>
          <w:lang w:val="en-GB"/>
        </w:rPr>
        <w:t xml:space="preserve">The textbook for the course is: </w:t>
      </w:r>
    </w:p>
    <w:p w14:paraId="5CBAB4BC" w14:textId="15DF5673" w:rsidR="0066505E" w:rsidRPr="0066505E" w:rsidRDefault="0066505E" w:rsidP="0066505E">
      <w:pPr>
        <w:pStyle w:val="Testo2"/>
        <w:spacing w:line="240" w:lineRule="atLeast"/>
        <w:ind w:left="284" w:hanging="284"/>
        <w:rPr>
          <w:spacing w:val="-5"/>
          <w:lang w:val="en-GB"/>
        </w:rPr>
      </w:pPr>
      <w:r w:rsidRPr="00856D2C">
        <w:rPr>
          <w:smallCaps/>
          <w:spacing w:val="-5"/>
          <w:sz w:val="16"/>
          <w:lang w:val="en-GB"/>
        </w:rPr>
        <w:t>J. Berk-P. DeMarzo,</w:t>
      </w:r>
      <w:r w:rsidRPr="00856D2C">
        <w:rPr>
          <w:i/>
          <w:spacing w:val="-5"/>
          <w:lang w:val="en-GB"/>
        </w:rPr>
        <w:t xml:space="preserve"> </w:t>
      </w:r>
      <w:r w:rsidRPr="0066505E">
        <w:rPr>
          <w:i/>
          <w:spacing w:val="-5"/>
          <w:lang w:val="en-GB"/>
        </w:rPr>
        <w:t>Corporate Finance,</w:t>
      </w:r>
      <w:r w:rsidRPr="0066505E">
        <w:rPr>
          <w:spacing w:val="-5"/>
          <w:lang w:val="en-GB"/>
        </w:rPr>
        <w:t xml:space="preserve"> Pearson International </w:t>
      </w:r>
      <w:r w:rsidR="00323FE2">
        <w:rPr>
          <w:spacing w:val="-5"/>
          <w:lang w:val="en-GB"/>
        </w:rPr>
        <w:t>5</w:t>
      </w:r>
      <w:r w:rsidRPr="0066505E">
        <w:rPr>
          <w:spacing w:val="-5"/>
          <w:lang w:val="en-GB"/>
        </w:rPr>
        <w:t xml:space="preserve">th Global Edition. </w:t>
      </w:r>
    </w:p>
    <w:p w14:paraId="01B48590" w14:textId="77777777" w:rsidR="0066505E" w:rsidRPr="00856D2C" w:rsidRDefault="0066505E" w:rsidP="003138D6">
      <w:pPr>
        <w:pStyle w:val="Testo2"/>
        <w:spacing w:before="120"/>
        <w:ind w:firstLine="0"/>
        <w:rPr>
          <w:smallCaps/>
          <w:spacing w:val="-5"/>
          <w:sz w:val="16"/>
          <w:lang w:val="en-US"/>
        </w:rPr>
      </w:pPr>
      <w:r w:rsidRPr="00856D2C">
        <w:rPr>
          <w:lang w:val="en-GB"/>
        </w:rPr>
        <w:t>The following textbooks are also recommended:</w:t>
      </w:r>
      <w:r w:rsidRPr="00856D2C">
        <w:rPr>
          <w:smallCaps/>
          <w:spacing w:val="-5"/>
          <w:sz w:val="16"/>
          <w:lang w:val="en-US"/>
        </w:rPr>
        <w:t xml:space="preserve"> </w:t>
      </w:r>
    </w:p>
    <w:p w14:paraId="0574A30F" w14:textId="7777777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Hillier-Grinblatt-Titman,</w:t>
      </w:r>
      <w:r w:rsidRPr="00856D2C">
        <w:rPr>
          <w:i/>
          <w:spacing w:val="-5"/>
          <w:lang w:val="en-US"/>
        </w:rPr>
        <w:t xml:space="preserve"> </w:t>
      </w:r>
      <w:r w:rsidRPr="0066505E">
        <w:rPr>
          <w:i/>
          <w:spacing w:val="-5"/>
          <w:lang w:val="en-US"/>
        </w:rPr>
        <w:t>Financial Markets and Corporate Strategy,</w:t>
      </w:r>
      <w:r w:rsidRPr="0066505E">
        <w:rPr>
          <w:spacing w:val="-5"/>
          <w:lang w:val="en-US"/>
        </w:rPr>
        <w:t xml:space="preserve"> McGraw-Hill, 2011 (2nd European ed.).</w:t>
      </w:r>
    </w:p>
    <w:p w14:paraId="66A01D56" w14:textId="78A2729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 xml:space="preserve">Phalippou, </w:t>
      </w:r>
      <w:r w:rsidRPr="0066505E">
        <w:rPr>
          <w:i/>
          <w:spacing w:val="-5"/>
          <w:lang w:val="en-US"/>
        </w:rPr>
        <w:t>Private Equity Laid Bare,</w:t>
      </w:r>
      <w:r w:rsidRPr="0066505E">
        <w:rPr>
          <w:spacing w:val="-5"/>
          <w:lang w:val="en-US"/>
        </w:rPr>
        <w:t xml:space="preserve"> Amazon, 20</w:t>
      </w:r>
      <w:r w:rsidR="00252EB5">
        <w:rPr>
          <w:spacing w:val="-5"/>
          <w:lang w:val="en-US"/>
        </w:rPr>
        <w:t>21</w:t>
      </w:r>
      <w:r w:rsidRPr="0066505E">
        <w:rPr>
          <w:spacing w:val="-5"/>
          <w:lang w:val="en-US"/>
        </w:rPr>
        <w:t>.</w:t>
      </w:r>
    </w:p>
    <w:p w14:paraId="2792677E" w14:textId="77777777" w:rsidR="0066505E" w:rsidRPr="00856D2C" w:rsidRDefault="0066505E" w:rsidP="003138D6">
      <w:pPr>
        <w:pStyle w:val="Testo1"/>
        <w:rPr>
          <w:lang w:val="en-US"/>
        </w:rPr>
      </w:pPr>
      <w:r w:rsidRPr="00856D2C">
        <w:rPr>
          <w:lang w:val="en-US"/>
        </w:rPr>
        <w:t xml:space="preserve">The list of case studies used in the course will be made available on the first day of class. </w:t>
      </w:r>
    </w:p>
    <w:p w14:paraId="36990F9C" w14:textId="77777777" w:rsidR="0066505E" w:rsidRPr="00856D2C" w:rsidRDefault="0066505E" w:rsidP="003138D6">
      <w:pPr>
        <w:pStyle w:val="Testo1"/>
        <w:rPr>
          <w:lang w:val="en-US"/>
        </w:rPr>
      </w:pPr>
      <w:r w:rsidRPr="00856D2C">
        <w:rPr>
          <w:lang w:val="en-US"/>
        </w:rPr>
        <w:t>Slides and articles will also be made available on the course web site on Blackboard.</w:t>
      </w:r>
    </w:p>
    <w:p w14:paraId="28F8AE69" w14:textId="77777777" w:rsidR="0066505E" w:rsidRPr="00514034" w:rsidRDefault="0066505E" w:rsidP="0066505E">
      <w:pPr>
        <w:spacing w:before="240" w:after="120" w:line="220" w:lineRule="exact"/>
        <w:rPr>
          <w:b/>
          <w:i/>
          <w:sz w:val="18"/>
          <w:lang w:val="en-US"/>
        </w:rPr>
      </w:pPr>
      <w:r w:rsidRPr="00514034">
        <w:rPr>
          <w:b/>
          <w:i/>
          <w:sz w:val="18"/>
          <w:lang w:val="en-US"/>
        </w:rPr>
        <w:t>TEACHING METHOD</w:t>
      </w:r>
    </w:p>
    <w:p w14:paraId="6747CAB5" w14:textId="69FA4F79" w:rsidR="0066505E" w:rsidRPr="00856D2C" w:rsidRDefault="0066505E" w:rsidP="0066505E">
      <w:pPr>
        <w:pStyle w:val="Testo2"/>
        <w:rPr>
          <w:lang w:val="en-US"/>
        </w:rPr>
      </w:pPr>
      <w:r w:rsidRPr="00856D2C">
        <w:rPr>
          <w:lang w:val="en-US"/>
        </w:rPr>
        <w:t xml:space="preserve">Class lectures and discussion of case studies. </w:t>
      </w:r>
    </w:p>
    <w:p w14:paraId="4838766B" w14:textId="77777777" w:rsidR="0066505E" w:rsidRPr="00906645" w:rsidRDefault="0066505E" w:rsidP="0066505E">
      <w:pPr>
        <w:spacing w:before="240" w:after="120" w:line="220" w:lineRule="exact"/>
        <w:rPr>
          <w:b/>
          <w:i/>
          <w:sz w:val="18"/>
          <w:lang w:val="en-US"/>
        </w:rPr>
      </w:pPr>
      <w:r w:rsidRPr="00906645">
        <w:rPr>
          <w:b/>
          <w:i/>
          <w:sz w:val="18"/>
          <w:lang w:val="en-US"/>
        </w:rPr>
        <w:t>ASSESSMENT METHOD AND CRITERIA</w:t>
      </w:r>
    </w:p>
    <w:p w14:paraId="3923B998" w14:textId="3620FFBB" w:rsidR="0066505E" w:rsidRPr="00856D2C" w:rsidRDefault="0066505E" w:rsidP="0066505E">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(a)</w:t>
      </w:r>
      <w:r w:rsidRPr="00856D2C">
        <w:rPr>
          <w:rFonts w:ascii="Times" w:hAnsi="Times"/>
          <w:noProof/>
          <w:sz w:val="18"/>
          <w:szCs w:val="20"/>
          <w:lang w:val="en-US"/>
        </w:rPr>
        <w:t xml:space="preserve">. </w:t>
      </w:r>
      <w:r w:rsidR="00E233B3" w:rsidRPr="00E233B3">
        <w:rPr>
          <w:rFonts w:ascii="Times" w:hAnsi="Times"/>
          <w:noProof/>
          <w:sz w:val="18"/>
          <w:szCs w:val="20"/>
          <w:lang w:val="en-US"/>
        </w:rPr>
        <w:t>The final grade will be the average of a midterm exam and an end-of-course exam</w:t>
      </w:r>
      <w:r w:rsidR="00E233B3">
        <w:rPr>
          <w:rFonts w:ascii="Times" w:hAnsi="Times"/>
          <w:noProof/>
          <w:sz w:val="18"/>
          <w:szCs w:val="20"/>
          <w:lang w:val="en-US"/>
        </w:rPr>
        <w:t>, each counting for 50% of the final grade</w:t>
      </w:r>
      <w:r w:rsidR="00E233B3" w:rsidRPr="00E233B3">
        <w:rPr>
          <w:rFonts w:ascii="Times" w:hAnsi="Times"/>
          <w:noProof/>
          <w:sz w:val="18"/>
          <w:szCs w:val="20"/>
          <w:lang w:val="en-US"/>
        </w:rPr>
        <w:t xml:space="preserve">. </w:t>
      </w:r>
      <w:r w:rsidR="00E233B3">
        <w:rPr>
          <w:rFonts w:ascii="Times" w:hAnsi="Times"/>
          <w:noProof/>
          <w:sz w:val="18"/>
          <w:szCs w:val="20"/>
          <w:lang w:val="en-US"/>
        </w:rPr>
        <w:t xml:space="preserve">Details about the structure of each test will be provided in Blackboard. </w:t>
      </w:r>
    </w:p>
    <w:p w14:paraId="31609591" w14:textId="69BCDD10" w:rsidR="00E233B3" w:rsidRPr="00856D2C" w:rsidRDefault="0066505E" w:rsidP="00E233B3">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(b)</w:t>
      </w:r>
      <w:r w:rsidRPr="00856D2C">
        <w:rPr>
          <w:rFonts w:ascii="Times" w:hAnsi="Times"/>
          <w:noProof/>
          <w:sz w:val="18"/>
          <w:szCs w:val="20"/>
          <w:lang w:val="en-US"/>
        </w:rPr>
        <w:t xml:space="preserve">. </w:t>
      </w:r>
      <w:r w:rsidR="00E233B3">
        <w:rPr>
          <w:rFonts w:ascii="Times" w:hAnsi="Times"/>
          <w:noProof/>
          <w:sz w:val="18"/>
          <w:szCs w:val="20"/>
          <w:lang w:val="en-US"/>
        </w:rPr>
        <w:t>The final grade will be based on a</w:t>
      </w:r>
      <w:r w:rsidRPr="00856D2C">
        <w:rPr>
          <w:rFonts w:ascii="Times" w:hAnsi="Times"/>
          <w:noProof/>
          <w:sz w:val="18"/>
          <w:szCs w:val="20"/>
          <w:lang w:val="en-US"/>
        </w:rPr>
        <w:t xml:space="preserve"> written final exam. This exam format is valid on all exam dates.</w:t>
      </w:r>
      <w:r w:rsidR="009A0D91">
        <w:rPr>
          <w:rFonts w:ascii="Times" w:hAnsi="Times"/>
          <w:noProof/>
          <w:sz w:val="18"/>
          <w:szCs w:val="20"/>
          <w:lang w:val="en-US"/>
        </w:rPr>
        <w:t xml:space="preserve"> </w:t>
      </w:r>
      <w:r w:rsidR="00E233B3">
        <w:rPr>
          <w:rFonts w:ascii="Times" w:hAnsi="Times"/>
          <w:noProof/>
          <w:sz w:val="18"/>
          <w:szCs w:val="20"/>
          <w:lang w:val="en-US"/>
        </w:rPr>
        <w:t xml:space="preserve">Details about the structure of the final exam will be provided in Blackboard. </w:t>
      </w:r>
    </w:p>
    <w:p w14:paraId="4EC9FE8E" w14:textId="61569F56" w:rsidR="00176ADE" w:rsidRPr="00856D2C" w:rsidRDefault="00176ADE" w:rsidP="009A0D91">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 xml:space="preserve">Questions from past exams are available in Blackboard. </w:t>
      </w:r>
    </w:p>
    <w:p w14:paraId="01D5EE2A" w14:textId="7C759B46" w:rsidR="0066505E" w:rsidRDefault="0066505E" w:rsidP="0066505E">
      <w:pPr>
        <w:spacing w:before="240" w:after="120"/>
        <w:rPr>
          <w:b/>
          <w:i/>
          <w:sz w:val="18"/>
          <w:lang w:val="en-US"/>
        </w:rPr>
      </w:pPr>
      <w:r w:rsidRPr="00514034">
        <w:rPr>
          <w:b/>
          <w:i/>
          <w:sz w:val="18"/>
          <w:lang w:val="en-US"/>
        </w:rPr>
        <w:t>NOTES AND PREREQUISITES</w:t>
      </w:r>
    </w:p>
    <w:p w14:paraId="071E6BE5" w14:textId="2B0B4631" w:rsidR="0066505E" w:rsidRPr="00E233B3" w:rsidRDefault="0066505E" w:rsidP="00AC584E">
      <w:pPr>
        <w:spacing w:before="120" w:after="120"/>
        <w:rPr>
          <w:bCs/>
          <w:iCs/>
          <w:sz w:val="18"/>
          <w:lang w:val="en-US"/>
        </w:rPr>
      </w:pPr>
      <w:r w:rsidRPr="00E233B3">
        <w:rPr>
          <w:bCs/>
          <w:iCs/>
          <w:sz w:val="18"/>
          <w:lang w:val="en-US"/>
        </w:rPr>
        <w:t>Students are expected to be familiar with the material covered in an introductory Corporate Finance course (NPV, basics of capital budgeting, cost of capital, and capital structure).</w:t>
      </w:r>
    </w:p>
    <w:p w14:paraId="351DF13C" w14:textId="77777777" w:rsidR="0066505E" w:rsidRPr="003138D6" w:rsidRDefault="0066505E" w:rsidP="003138D6">
      <w:pPr>
        <w:pStyle w:val="Testo2"/>
        <w:spacing w:before="120"/>
        <w:rPr>
          <w:i/>
          <w:lang w:val="en-US"/>
        </w:rPr>
      </w:pPr>
      <w:r w:rsidRPr="003138D6">
        <w:rPr>
          <w:i/>
          <w:lang w:val="en-US"/>
        </w:rPr>
        <w:t>Office hours</w:t>
      </w:r>
    </w:p>
    <w:p w14:paraId="58BC4861" w14:textId="77777777" w:rsidR="0066505E" w:rsidRPr="003138D6" w:rsidRDefault="0066505E" w:rsidP="0066505E">
      <w:pPr>
        <w:pStyle w:val="Testo2"/>
        <w:rPr>
          <w:lang w:val="en-US"/>
        </w:rPr>
      </w:pPr>
      <w:r w:rsidRPr="003138D6">
        <w:rPr>
          <w:lang w:val="en-US"/>
        </w:rPr>
        <w:t xml:space="preserve">Information about weekly office hours is posted here: </w:t>
      </w:r>
      <w:r w:rsidRPr="003138D6">
        <w:rPr>
          <w:i/>
          <w:lang w:val="en-US"/>
        </w:rPr>
        <w:t>https://docenti.unicatt.it/ppd2/en/#/en/docenti/18035/ettore-croci/profilo</w:t>
      </w:r>
    </w:p>
    <w:sectPr w:rsidR="0066505E" w:rsidRPr="003138D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93"/>
    <w:rsid w:val="00027C1E"/>
    <w:rsid w:val="00176ADE"/>
    <w:rsid w:val="00187B99"/>
    <w:rsid w:val="002014DD"/>
    <w:rsid w:val="00252EB5"/>
    <w:rsid w:val="002D5E17"/>
    <w:rsid w:val="00311D8F"/>
    <w:rsid w:val="003138D6"/>
    <w:rsid w:val="00323FE2"/>
    <w:rsid w:val="003C1741"/>
    <w:rsid w:val="004D1217"/>
    <w:rsid w:val="004D6008"/>
    <w:rsid w:val="00640794"/>
    <w:rsid w:val="0066505E"/>
    <w:rsid w:val="006F1772"/>
    <w:rsid w:val="00867472"/>
    <w:rsid w:val="008942E7"/>
    <w:rsid w:val="008A1204"/>
    <w:rsid w:val="008B5E67"/>
    <w:rsid w:val="008F7972"/>
    <w:rsid w:val="00900CCA"/>
    <w:rsid w:val="00920B56"/>
    <w:rsid w:val="00924B77"/>
    <w:rsid w:val="00940DA2"/>
    <w:rsid w:val="009A0D91"/>
    <w:rsid w:val="009E055C"/>
    <w:rsid w:val="00A74F6F"/>
    <w:rsid w:val="00AC584E"/>
    <w:rsid w:val="00AD7557"/>
    <w:rsid w:val="00B50C5D"/>
    <w:rsid w:val="00B51253"/>
    <w:rsid w:val="00B517AF"/>
    <w:rsid w:val="00B525CC"/>
    <w:rsid w:val="00BC463B"/>
    <w:rsid w:val="00D40293"/>
    <w:rsid w:val="00D404F2"/>
    <w:rsid w:val="00D8482F"/>
    <w:rsid w:val="00E233B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85C8"/>
  <w15:chartTrackingRefBased/>
  <w15:docId w15:val="{0E1906C6-70FC-47C8-8022-711948FE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50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6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C0B9-7F5A-4C62-920F-0CE55B8A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481</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2023-05-03T08:23:00Z</dcterms:created>
  <dcterms:modified xsi:type="dcterms:W3CDTF">2023-05-03T08:23:00Z</dcterms:modified>
</cp:coreProperties>
</file>