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581A" w14:textId="77777777" w:rsidR="00252F07" w:rsidRPr="001D33C8" w:rsidRDefault="006C68A0" w:rsidP="00DB30E4">
      <w:pPr>
        <w:pStyle w:val="Titolo1"/>
        <w:keepNext w:val="0"/>
        <w:tabs>
          <w:tab w:val="clear" w:pos="284"/>
        </w:tabs>
        <w:suppressAutoHyphens w:val="0"/>
        <w:spacing w:after="0"/>
        <w:ind w:left="284" w:hanging="284"/>
        <w:rPr>
          <w:rFonts w:eastAsia="Times New Roman" w:cs="Times New Roman"/>
          <w:noProof/>
          <w:kern w:val="0"/>
          <w:sz w:val="20"/>
          <w:szCs w:val="20"/>
          <w:lang w:val="en-GB" w:eastAsia="it-IT"/>
        </w:rPr>
      </w:pPr>
      <w:bookmarkStart w:id="0" w:name="_Toc50709348"/>
      <w:r w:rsidRPr="001D33C8">
        <w:rPr>
          <w:rFonts w:eastAsia="Times New Roman" w:cs="Times New Roman"/>
          <w:noProof/>
          <w:kern w:val="0"/>
          <w:sz w:val="20"/>
          <w:szCs w:val="20"/>
          <w:lang w:val="en-GB" w:eastAsia="it-IT"/>
        </w:rPr>
        <w:t>Monetary Economics</w:t>
      </w:r>
      <w:bookmarkEnd w:id="0"/>
    </w:p>
    <w:p w14:paraId="39C5A0E2" w14:textId="77777777" w:rsidR="00252F07" w:rsidRPr="001D33C8" w:rsidRDefault="006C68A0" w:rsidP="00DB30E4">
      <w:pPr>
        <w:pStyle w:val="Titolo2"/>
        <w:keepNext w:val="0"/>
        <w:numPr>
          <w:ilvl w:val="1"/>
          <w:numId w:val="1"/>
        </w:numPr>
        <w:tabs>
          <w:tab w:val="clear" w:pos="284"/>
          <w:tab w:val="clear" w:pos="576"/>
        </w:tabs>
        <w:suppressAutoHyphens w:val="0"/>
        <w:spacing w:before="0" w:after="0"/>
        <w:ind w:left="0" w:firstLine="0"/>
        <w:rPr>
          <w:rFonts w:eastAsia="Times New Roman" w:cs="Times New Roman"/>
          <w:noProof/>
          <w:kern w:val="0"/>
          <w:szCs w:val="20"/>
          <w:lang w:val="en-GB" w:eastAsia="it-IT"/>
        </w:rPr>
      </w:pPr>
      <w:bookmarkStart w:id="1" w:name="_Toc50709349"/>
      <w:r w:rsidRPr="001D33C8">
        <w:rPr>
          <w:rFonts w:eastAsia="Times New Roman" w:cs="Times New Roman"/>
          <w:noProof/>
          <w:kern w:val="0"/>
          <w:szCs w:val="20"/>
          <w:lang w:val="en-GB" w:eastAsia="it-IT"/>
        </w:rPr>
        <w:t>Prof. Andrea Boitani; Prof. Rony Hamaui</w:t>
      </w:r>
      <w:bookmarkEnd w:id="1"/>
    </w:p>
    <w:p w14:paraId="6DB9C3DB" w14:textId="77777777" w:rsidR="00BB0CB9" w:rsidRPr="001D33C8" w:rsidRDefault="00BB0CB9" w:rsidP="00BB0CB9">
      <w:pPr>
        <w:spacing w:before="240" w:after="120"/>
        <w:rPr>
          <w:b/>
          <w:i/>
          <w:sz w:val="18"/>
          <w:lang w:val="en-GB"/>
        </w:rPr>
      </w:pPr>
      <w:r w:rsidRPr="001D33C8">
        <w:rPr>
          <w:b/>
          <w:i/>
          <w:sz w:val="18"/>
          <w:lang w:val="en-GB"/>
        </w:rPr>
        <w:t xml:space="preserve">COURSE AIMS AND INTENDED LEARNING OUTCOMES </w:t>
      </w:r>
    </w:p>
    <w:p w14:paraId="0A9BACE3" w14:textId="77777777" w:rsidR="00252F07" w:rsidRPr="001D33C8" w:rsidRDefault="006C68A0">
      <w:pPr>
        <w:rPr>
          <w:lang w:val="en-GB"/>
        </w:rPr>
      </w:pPr>
      <w:r w:rsidRPr="001D33C8">
        <w:rPr>
          <w:lang w:val="en-GB"/>
        </w:rPr>
        <w:t>The course is divided into two modules. The first module explores the contemporary theory of monetary policy, looking at a central bank's objectives, constraints and instruments, as well as the channels for the transmission of policy, both in the absence and presence of credit constraints. A specific emphasis is placed on the formation of expectations, the credibility of monetary policy, central bank independence, and a review and assessment of the European Central Bank's actions.</w:t>
      </w:r>
    </w:p>
    <w:p w14:paraId="11442B8D" w14:textId="77777777" w:rsidR="00252F07" w:rsidRPr="001D33C8" w:rsidRDefault="006C68A0">
      <w:pPr>
        <w:rPr>
          <w:smallCaps/>
          <w:sz w:val="18"/>
          <w:szCs w:val="18"/>
          <w:lang w:val="en-GB"/>
        </w:rPr>
      </w:pPr>
      <w:r w:rsidRPr="001D33C8">
        <w:rPr>
          <w:lang w:val="en-GB"/>
        </w:rPr>
        <w:t>The second module supplies information about the trend of the international monetary system, the structure of the foreign-exchange market, macroeconomic relationships that are the basis of the main models for the determination of exchange rates as well as the technical aspects (instruments and strategies) of doing business in the markets. The course thus has the objective of blending theory with operational dynamics.</w:t>
      </w:r>
    </w:p>
    <w:p w14:paraId="7F4784B4" w14:textId="77777777" w:rsidR="00BB0CB9" w:rsidRPr="001D33C8" w:rsidRDefault="00D4367A" w:rsidP="004A0162">
      <w:pPr>
        <w:rPr>
          <w:rFonts w:ascii="Times New Roman" w:hAnsi="Times New Roman"/>
          <w:kern w:val="0"/>
          <w:szCs w:val="24"/>
          <w:lang w:val="en-GB" w:eastAsia="it-IT"/>
        </w:rPr>
      </w:pPr>
      <w:r w:rsidRPr="001D33C8">
        <w:rPr>
          <w:rFonts w:cs="Times"/>
          <w:lang w:val="en-GB"/>
        </w:rPr>
        <w:t>At the end of the course, student</w:t>
      </w:r>
      <w:r w:rsidR="00E02EA0" w:rsidRPr="001D33C8">
        <w:rPr>
          <w:rFonts w:cs="Times"/>
          <w:lang w:val="en-GB"/>
        </w:rPr>
        <w:t>s</w:t>
      </w:r>
      <w:r w:rsidRPr="001D33C8">
        <w:rPr>
          <w:rFonts w:cs="Times"/>
          <w:lang w:val="en-GB"/>
        </w:rPr>
        <w:t xml:space="preserve"> will be able to understand: 1) the behavio</w:t>
      </w:r>
      <w:r w:rsidR="00E02EA0" w:rsidRPr="001D33C8">
        <w:rPr>
          <w:rFonts w:cs="Times"/>
          <w:lang w:val="en-GB"/>
        </w:rPr>
        <w:t>u</w:t>
      </w:r>
      <w:r w:rsidRPr="001D33C8">
        <w:rPr>
          <w:rFonts w:cs="Times"/>
          <w:lang w:val="en-GB"/>
        </w:rPr>
        <w:t>r of central banks, the motivations underlying these behavio</w:t>
      </w:r>
      <w:r w:rsidR="00E02EA0" w:rsidRPr="001D33C8">
        <w:rPr>
          <w:rFonts w:cs="Times"/>
          <w:lang w:val="en-GB"/>
        </w:rPr>
        <w:t>u</w:t>
      </w:r>
      <w:r w:rsidRPr="001D33C8">
        <w:rPr>
          <w:rFonts w:cs="Times"/>
          <w:lang w:val="en-GB"/>
        </w:rPr>
        <w:t xml:space="preserve">rs, the role of the different tools used and the potential effects of the policies </w:t>
      </w:r>
      <w:r w:rsidR="00E02EA0" w:rsidRPr="001D33C8">
        <w:rPr>
          <w:rFonts w:cs="Times"/>
          <w:lang w:val="en-GB"/>
        </w:rPr>
        <w:t>adopted</w:t>
      </w:r>
      <w:r w:rsidRPr="001D33C8">
        <w:rPr>
          <w:rFonts w:cs="Times"/>
          <w:lang w:val="en-GB"/>
        </w:rPr>
        <w:t xml:space="preserve">; 2) the functioning of the foreign exchange market, the role of the various operators, including central banks and governments, in addition to the functioning of the international monetary system and </w:t>
      </w:r>
      <w:r w:rsidR="005458EB" w:rsidRPr="001D33C8">
        <w:rPr>
          <w:rFonts w:ascii="Times New Roman" w:hAnsi="Times New Roman"/>
          <w:kern w:val="0"/>
          <w:szCs w:val="24"/>
          <w:lang w:val="en-GB" w:eastAsia="it-IT"/>
        </w:rPr>
        <w:t>of the European economic and monetary union</w:t>
      </w:r>
      <w:r w:rsidR="004A0162" w:rsidRPr="001D33C8">
        <w:rPr>
          <w:rFonts w:ascii="Times New Roman" w:hAnsi="Times New Roman"/>
          <w:kern w:val="0"/>
          <w:szCs w:val="24"/>
          <w:lang w:val="en-GB" w:eastAsia="it-IT"/>
        </w:rPr>
        <w:t>.</w:t>
      </w:r>
    </w:p>
    <w:p w14:paraId="75BAEE57" w14:textId="77777777" w:rsidR="00252F07" w:rsidRPr="001D33C8" w:rsidRDefault="006C68A0">
      <w:pPr>
        <w:spacing w:before="240" w:after="120"/>
        <w:rPr>
          <w:smallCaps/>
          <w:sz w:val="18"/>
          <w:lang w:val="en-GB"/>
        </w:rPr>
      </w:pPr>
      <w:r w:rsidRPr="001D33C8">
        <w:rPr>
          <w:b/>
          <w:i/>
          <w:sz w:val="18"/>
          <w:lang w:val="en-GB"/>
        </w:rPr>
        <w:t>COURSE CONTENT</w:t>
      </w:r>
    </w:p>
    <w:p w14:paraId="1F5670AD" w14:textId="77777777" w:rsidR="00252F07" w:rsidRPr="001D33C8" w:rsidRDefault="006C68A0">
      <w:pPr>
        <w:rPr>
          <w:i/>
          <w:lang w:val="en-GB"/>
        </w:rPr>
      </w:pPr>
      <w:r w:rsidRPr="001D33C8">
        <w:rPr>
          <w:smallCaps/>
          <w:sz w:val="18"/>
          <w:lang w:val="en-GB"/>
        </w:rPr>
        <w:t>Module I</w:t>
      </w:r>
    </w:p>
    <w:p w14:paraId="522D5412" w14:textId="77777777" w:rsidR="00252F07" w:rsidRPr="001D33C8" w:rsidRDefault="006C68A0">
      <w:pPr>
        <w:rPr>
          <w:lang w:val="en-GB"/>
        </w:rPr>
      </w:pPr>
      <w:r w:rsidRPr="001D33C8">
        <w:rPr>
          <w:i/>
          <w:lang w:val="en-GB"/>
        </w:rPr>
        <w:t>1.</w:t>
      </w:r>
      <w:r w:rsidRPr="001D33C8">
        <w:rPr>
          <w:i/>
          <w:lang w:val="en-GB"/>
        </w:rPr>
        <w:tab/>
        <w:t>Formation of expectations and macroeconomic results</w:t>
      </w:r>
    </w:p>
    <w:p w14:paraId="2FFF0B5C" w14:textId="77777777" w:rsidR="00252F07" w:rsidRPr="001D33C8" w:rsidRDefault="006C68A0">
      <w:pPr>
        <w:rPr>
          <w:lang w:val="en-GB"/>
        </w:rPr>
      </w:pPr>
      <w:r w:rsidRPr="001D33C8">
        <w:rPr>
          <w:lang w:val="en-GB"/>
        </w:rPr>
        <w:t>–</w:t>
      </w:r>
      <w:r w:rsidRPr="001D33C8">
        <w:rPr>
          <w:lang w:val="en-GB"/>
        </w:rPr>
        <w:tab/>
        <w:t>Adaptive expectations: adjustments and systematic errors.</w:t>
      </w:r>
    </w:p>
    <w:p w14:paraId="66639393" w14:textId="77777777" w:rsidR="00252F07" w:rsidRPr="001D33C8" w:rsidRDefault="006C68A0">
      <w:pPr>
        <w:rPr>
          <w:lang w:val="en-GB"/>
        </w:rPr>
      </w:pPr>
      <w:r w:rsidRPr="001D33C8">
        <w:rPr>
          <w:lang w:val="en-GB"/>
        </w:rPr>
        <w:t>–</w:t>
      </w:r>
      <w:r w:rsidRPr="001D33C8">
        <w:rPr>
          <w:lang w:val="en-GB"/>
        </w:rPr>
        <w:tab/>
        <w:t>Rational expectations: definitions and proprieties.</w:t>
      </w:r>
    </w:p>
    <w:p w14:paraId="15214F5D" w14:textId="77777777" w:rsidR="00252F07" w:rsidRPr="001D33C8" w:rsidRDefault="006C68A0">
      <w:pPr>
        <w:rPr>
          <w:lang w:val="en-GB"/>
        </w:rPr>
      </w:pPr>
      <w:r w:rsidRPr="001D33C8">
        <w:rPr>
          <w:lang w:val="en-GB"/>
        </w:rPr>
        <w:t>–</w:t>
      </w:r>
      <w:r w:rsidRPr="001D33C8">
        <w:rPr>
          <w:lang w:val="en-GB"/>
        </w:rPr>
        <w:tab/>
        <w:t>Solution of models with rational expectations.</w:t>
      </w:r>
    </w:p>
    <w:p w14:paraId="39EE57E9" w14:textId="77777777" w:rsidR="00252F07" w:rsidRPr="001D33C8" w:rsidRDefault="006C68A0">
      <w:pPr>
        <w:rPr>
          <w:lang w:val="en-GB"/>
        </w:rPr>
      </w:pPr>
      <w:r w:rsidRPr="001D33C8">
        <w:rPr>
          <w:lang w:val="en-GB"/>
        </w:rPr>
        <w:t>–</w:t>
      </w:r>
      <w:r w:rsidRPr="001D33C8">
        <w:rPr>
          <w:lang w:val="en-GB"/>
        </w:rPr>
        <w:tab/>
        <w:t>Neutrality of monetary policy.</w:t>
      </w:r>
    </w:p>
    <w:p w14:paraId="07AF572C" w14:textId="77777777" w:rsidR="00252F07" w:rsidRPr="001D33C8" w:rsidRDefault="006C68A0">
      <w:pPr>
        <w:rPr>
          <w:i/>
          <w:lang w:val="en-GB"/>
        </w:rPr>
      </w:pPr>
      <w:r w:rsidRPr="001D33C8">
        <w:rPr>
          <w:lang w:val="en-GB"/>
        </w:rPr>
        <w:t>–</w:t>
      </w:r>
      <w:r w:rsidRPr="001D33C8">
        <w:rPr>
          <w:lang w:val="en-GB"/>
        </w:rPr>
        <w:tab/>
        <w:t>Non-neutrality of monetary policy and spread-out contracts.</w:t>
      </w:r>
    </w:p>
    <w:p w14:paraId="6CAFD812" w14:textId="77777777" w:rsidR="00252F07" w:rsidRPr="001D33C8" w:rsidRDefault="006C68A0">
      <w:pPr>
        <w:spacing w:before="120"/>
        <w:rPr>
          <w:lang w:val="en-GB"/>
        </w:rPr>
      </w:pPr>
      <w:r w:rsidRPr="001D33C8">
        <w:rPr>
          <w:i/>
          <w:lang w:val="en-GB"/>
        </w:rPr>
        <w:t>2.</w:t>
      </w:r>
      <w:r w:rsidRPr="001D33C8">
        <w:rPr>
          <w:i/>
          <w:lang w:val="en-GB"/>
        </w:rPr>
        <w:tab/>
        <w:t>The "standard" model for monetary policy</w:t>
      </w:r>
    </w:p>
    <w:p w14:paraId="3101275F" w14:textId="77777777" w:rsidR="00252F07" w:rsidRPr="001D33C8" w:rsidRDefault="006C68A0">
      <w:pPr>
        <w:rPr>
          <w:lang w:val="en-GB"/>
        </w:rPr>
      </w:pPr>
      <w:r w:rsidRPr="001D33C8">
        <w:rPr>
          <w:lang w:val="en-GB"/>
        </w:rPr>
        <w:t>–</w:t>
      </w:r>
      <w:r w:rsidRPr="001D33C8">
        <w:rPr>
          <w:lang w:val="en-GB"/>
        </w:rPr>
        <w:tab/>
        <w:t>The IS-AS-MPR base model.</w:t>
      </w:r>
    </w:p>
    <w:p w14:paraId="145032AB" w14:textId="77777777" w:rsidR="00252F07" w:rsidRPr="001D33C8" w:rsidRDefault="006C68A0">
      <w:pPr>
        <w:rPr>
          <w:lang w:val="en-GB"/>
        </w:rPr>
      </w:pPr>
      <w:r w:rsidRPr="001D33C8">
        <w:rPr>
          <w:lang w:val="en-GB"/>
        </w:rPr>
        <w:t>–</w:t>
      </w:r>
      <w:r w:rsidRPr="001D33C8">
        <w:rPr>
          <w:lang w:val="en-GB"/>
        </w:rPr>
        <w:tab/>
        <w:t xml:space="preserve">From MPR to the </w:t>
      </w:r>
      <w:r w:rsidRPr="001D33C8">
        <w:rPr>
          <w:iCs/>
          <w:lang w:val="en-GB"/>
        </w:rPr>
        <w:t>interest rate rule</w:t>
      </w:r>
      <w:r w:rsidRPr="001D33C8">
        <w:rPr>
          <w:i/>
          <w:iCs/>
          <w:lang w:val="en-GB"/>
        </w:rPr>
        <w:t>.</w:t>
      </w:r>
    </w:p>
    <w:p w14:paraId="63B484B7" w14:textId="77777777" w:rsidR="00252F07" w:rsidRPr="001D33C8" w:rsidRDefault="006C68A0">
      <w:pPr>
        <w:rPr>
          <w:lang w:val="en-GB"/>
        </w:rPr>
      </w:pPr>
      <w:r w:rsidRPr="001D33C8">
        <w:rPr>
          <w:lang w:val="en-GB"/>
        </w:rPr>
        <w:t>–</w:t>
      </w:r>
      <w:r w:rsidRPr="001D33C8">
        <w:rPr>
          <w:lang w:val="en-GB"/>
        </w:rPr>
        <w:tab/>
        <w:t>Optimal rule and Taylor rule.</w:t>
      </w:r>
    </w:p>
    <w:p w14:paraId="1F543BF8" w14:textId="77777777" w:rsidR="00252F07" w:rsidRPr="001D33C8" w:rsidRDefault="006C68A0">
      <w:pPr>
        <w:rPr>
          <w:lang w:val="en-GB"/>
        </w:rPr>
      </w:pPr>
      <w:r w:rsidRPr="001D33C8">
        <w:rPr>
          <w:lang w:val="en-GB"/>
        </w:rPr>
        <w:t>–</w:t>
      </w:r>
      <w:r w:rsidRPr="001D33C8">
        <w:rPr>
          <w:lang w:val="en-GB"/>
        </w:rPr>
        <w:tab/>
        <w:t xml:space="preserve">Timing inconsistency and inflationary </w:t>
      </w:r>
      <w:r w:rsidRPr="001D33C8">
        <w:rPr>
          <w:iCs/>
          <w:lang w:val="en-GB"/>
        </w:rPr>
        <w:t>bias</w:t>
      </w:r>
      <w:r w:rsidRPr="001D33C8">
        <w:rPr>
          <w:lang w:val="en-GB"/>
        </w:rPr>
        <w:t>.</w:t>
      </w:r>
    </w:p>
    <w:p w14:paraId="7D8D6A9D" w14:textId="77777777" w:rsidR="00252F07" w:rsidRPr="001D33C8" w:rsidRDefault="006C68A0">
      <w:pPr>
        <w:rPr>
          <w:lang w:val="en-GB"/>
        </w:rPr>
      </w:pPr>
      <w:r w:rsidRPr="001D33C8">
        <w:rPr>
          <w:lang w:val="en-GB"/>
        </w:rPr>
        <w:lastRenderedPageBreak/>
        <w:t>–</w:t>
      </w:r>
      <w:r w:rsidRPr="001D33C8">
        <w:rPr>
          <w:lang w:val="en-GB"/>
        </w:rPr>
        <w:tab/>
        <w:t>Interest-rate rules and deflation.</w:t>
      </w:r>
    </w:p>
    <w:p w14:paraId="353FFADA" w14:textId="77777777" w:rsidR="00252F07" w:rsidRPr="001D33C8" w:rsidRDefault="006C68A0">
      <w:pPr>
        <w:rPr>
          <w:lang w:val="en-GB"/>
        </w:rPr>
      </w:pPr>
      <w:r w:rsidRPr="001D33C8">
        <w:rPr>
          <w:lang w:val="en-GB"/>
        </w:rPr>
        <w:t>–</w:t>
      </w:r>
      <w:r w:rsidRPr="001D33C8">
        <w:rPr>
          <w:lang w:val="en-GB"/>
        </w:rPr>
        <w:tab/>
        <w:t>Monetary policy in an open economy.</w:t>
      </w:r>
    </w:p>
    <w:p w14:paraId="728753BC" w14:textId="77777777" w:rsidR="00252F07" w:rsidRPr="001D33C8" w:rsidRDefault="006C68A0">
      <w:pPr>
        <w:rPr>
          <w:lang w:val="en-GB"/>
        </w:rPr>
      </w:pPr>
      <w:r w:rsidRPr="001D33C8">
        <w:rPr>
          <w:lang w:val="en-GB"/>
        </w:rPr>
        <w:t>–</w:t>
      </w:r>
      <w:r w:rsidRPr="001D33C8">
        <w:rPr>
          <w:lang w:val="en-GB"/>
        </w:rPr>
        <w:tab/>
        <w:t>Monetary/fiscal policy interaction in a closed and open economy.</w:t>
      </w:r>
    </w:p>
    <w:p w14:paraId="4CA44BA2" w14:textId="77777777" w:rsidR="00252F07" w:rsidRPr="001D33C8" w:rsidRDefault="006C68A0">
      <w:pPr>
        <w:rPr>
          <w:lang w:val="en-GB"/>
        </w:rPr>
      </w:pPr>
      <w:r w:rsidRPr="001D33C8">
        <w:rPr>
          <w:lang w:val="en-GB"/>
        </w:rPr>
        <w:t>–</w:t>
      </w:r>
      <w:r w:rsidRPr="001D33C8">
        <w:rPr>
          <w:lang w:val="en-GB"/>
        </w:rPr>
        <w:tab/>
        <w:t>Monetary/fiscal policy interaction in monetary union.</w:t>
      </w:r>
    </w:p>
    <w:p w14:paraId="55F654E6" w14:textId="77777777" w:rsidR="00DB30E4" w:rsidRPr="001D33C8" w:rsidRDefault="00A21633" w:rsidP="00DB30E4">
      <w:pPr>
        <w:pStyle w:val="Paragrafoelenco"/>
        <w:numPr>
          <w:ilvl w:val="0"/>
          <w:numId w:val="4"/>
        </w:numPr>
        <w:tabs>
          <w:tab w:val="left" w:pos="284"/>
        </w:tabs>
        <w:ind w:left="0" w:hanging="11"/>
        <w:rPr>
          <w:sz w:val="20"/>
          <w:szCs w:val="20"/>
          <w:lang w:val="en-GB"/>
        </w:rPr>
      </w:pPr>
      <w:r w:rsidRPr="001D33C8">
        <w:rPr>
          <w:sz w:val="20"/>
          <w:szCs w:val="20"/>
          <w:lang w:val="en-GB"/>
        </w:rPr>
        <w:t xml:space="preserve">Interactions between monetary policy and macroprudential regulation </w:t>
      </w:r>
    </w:p>
    <w:p w14:paraId="6623ED98" w14:textId="77777777" w:rsidR="00252F07" w:rsidRPr="001D33C8" w:rsidRDefault="006C68A0">
      <w:pPr>
        <w:spacing w:before="120"/>
        <w:rPr>
          <w:lang w:val="en-GB"/>
        </w:rPr>
      </w:pPr>
      <w:r w:rsidRPr="001D33C8">
        <w:rPr>
          <w:i/>
          <w:lang w:val="en-GB"/>
        </w:rPr>
        <w:t>3.</w:t>
      </w:r>
      <w:r w:rsidRPr="001D33C8">
        <w:rPr>
          <w:i/>
          <w:lang w:val="en-GB"/>
        </w:rPr>
        <w:tab/>
        <w:t>Monetary policy operational rules</w:t>
      </w:r>
    </w:p>
    <w:p w14:paraId="0B5ECB98" w14:textId="77777777" w:rsidR="00252F07" w:rsidRPr="001D33C8" w:rsidRDefault="006C68A0">
      <w:pPr>
        <w:rPr>
          <w:lang w:val="en-GB"/>
        </w:rPr>
      </w:pPr>
      <w:r w:rsidRPr="001D33C8">
        <w:rPr>
          <w:lang w:val="en-GB"/>
        </w:rPr>
        <w:t>–</w:t>
      </w:r>
      <w:r w:rsidRPr="001D33C8">
        <w:rPr>
          <w:lang w:val="en-GB"/>
        </w:rPr>
        <w:tab/>
        <w:t>Demand and supply of bank reserves.</w:t>
      </w:r>
    </w:p>
    <w:p w14:paraId="4EB544DC" w14:textId="77777777" w:rsidR="00252F07" w:rsidRPr="001D33C8" w:rsidRDefault="006C68A0">
      <w:pPr>
        <w:rPr>
          <w:lang w:val="en-GB"/>
        </w:rPr>
      </w:pPr>
      <w:r w:rsidRPr="001D33C8">
        <w:rPr>
          <w:lang w:val="en-GB"/>
        </w:rPr>
        <w:t>–</w:t>
      </w:r>
      <w:r w:rsidRPr="001D33C8">
        <w:rPr>
          <w:lang w:val="en-GB"/>
        </w:rPr>
        <w:tab/>
        <w:t>Equilibrium of interbank market and liquidity shocks.</w:t>
      </w:r>
    </w:p>
    <w:p w14:paraId="1B1F8012" w14:textId="77777777" w:rsidR="00252F07" w:rsidRPr="001D33C8" w:rsidRDefault="006C68A0">
      <w:pPr>
        <w:rPr>
          <w:lang w:val="en-GB"/>
        </w:rPr>
      </w:pPr>
      <w:r w:rsidRPr="001D33C8">
        <w:rPr>
          <w:lang w:val="en-GB"/>
        </w:rPr>
        <w:t>–</w:t>
      </w:r>
      <w:r w:rsidRPr="001D33C8">
        <w:rPr>
          <w:lang w:val="en-GB"/>
        </w:rPr>
        <w:tab/>
        <w:t>Changing official rates.</w:t>
      </w:r>
    </w:p>
    <w:p w14:paraId="2280E558" w14:textId="77777777" w:rsidR="00252F07" w:rsidRPr="001D33C8" w:rsidRDefault="006C68A0">
      <w:pPr>
        <w:rPr>
          <w:lang w:val="en-GB"/>
        </w:rPr>
      </w:pPr>
      <w:r w:rsidRPr="001D33C8">
        <w:rPr>
          <w:lang w:val="en-GB"/>
        </w:rPr>
        <w:t>–</w:t>
      </w:r>
      <w:r w:rsidRPr="001D33C8">
        <w:rPr>
          <w:lang w:val="en-GB"/>
        </w:rPr>
        <w:tab/>
        <w:t>Non-conventional intervention.</w:t>
      </w:r>
    </w:p>
    <w:p w14:paraId="45EB1A4A" w14:textId="77777777" w:rsidR="004A0162" w:rsidRPr="001D33C8" w:rsidRDefault="004A0162" w:rsidP="004A0162">
      <w:pPr>
        <w:suppressAutoHyphens w:val="0"/>
        <w:spacing w:before="120"/>
        <w:rPr>
          <w:rFonts w:ascii="Times New Roman" w:hAnsi="Times New Roman"/>
          <w:smallCaps/>
          <w:kern w:val="0"/>
          <w:sz w:val="18"/>
          <w:szCs w:val="24"/>
          <w:lang w:val="en-GB" w:eastAsia="it-IT"/>
        </w:rPr>
      </w:pPr>
      <w:r w:rsidRPr="001D33C8">
        <w:rPr>
          <w:rFonts w:ascii="Times New Roman" w:hAnsi="Times New Roman"/>
          <w:smallCaps/>
          <w:kern w:val="0"/>
          <w:sz w:val="18"/>
          <w:szCs w:val="24"/>
          <w:lang w:val="en-GB" w:eastAsia="it-IT"/>
        </w:rPr>
        <w:t>Modul</w:t>
      </w:r>
      <w:r w:rsidR="005458EB" w:rsidRPr="001D33C8">
        <w:rPr>
          <w:rFonts w:ascii="Times New Roman" w:hAnsi="Times New Roman"/>
          <w:smallCaps/>
          <w:kern w:val="0"/>
          <w:sz w:val="18"/>
          <w:szCs w:val="24"/>
          <w:lang w:val="en-GB" w:eastAsia="it-IT"/>
        </w:rPr>
        <w:t>e 2</w:t>
      </w:r>
    </w:p>
    <w:p w14:paraId="675C60FF"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1.</w:t>
      </w:r>
      <w:r w:rsidRPr="001D33C8">
        <w:rPr>
          <w:rFonts w:ascii="Times New Roman" w:hAnsi="Times New Roman"/>
          <w:kern w:val="0"/>
          <w:szCs w:val="24"/>
          <w:lang w:val="en-GB" w:eastAsia="it-IT"/>
        </w:rPr>
        <w:tab/>
      </w:r>
      <w:r w:rsidR="005458EB" w:rsidRPr="001D33C8">
        <w:rPr>
          <w:rFonts w:ascii="Times New Roman" w:hAnsi="Times New Roman"/>
          <w:i/>
          <w:kern w:val="0"/>
          <w:szCs w:val="24"/>
          <w:lang w:val="en-GB" w:eastAsia="it-IT"/>
        </w:rPr>
        <w:t>Structure and evolution of the foreign exchange market</w:t>
      </w:r>
    </w:p>
    <w:p w14:paraId="5E0207D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BIS findings and analyses</w:t>
      </w:r>
    </w:p>
    <w:p w14:paraId="0EF421A5"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structure of spot and forward exchange rates</w:t>
      </w:r>
      <w:r w:rsidRPr="001D33C8">
        <w:rPr>
          <w:rFonts w:ascii="Times New Roman" w:hAnsi="Times New Roman"/>
          <w:kern w:val="0"/>
          <w:szCs w:val="24"/>
          <w:lang w:val="en-GB" w:eastAsia="it-IT"/>
        </w:rPr>
        <w:t>.</w:t>
      </w:r>
    </w:p>
    <w:p w14:paraId="46BB7C8D"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role of swaps, futures and options</w:t>
      </w:r>
      <w:r w:rsidRPr="001D33C8">
        <w:rPr>
          <w:rFonts w:ascii="Times New Roman" w:hAnsi="Times New Roman"/>
          <w:kern w:val="0"/>
          <w:szCs w:val="24"/>
          <w:lang w:val="en-GB" w:eastAsia="it-IT"/>
        </w:rPr>
        <w:t>.</w:t>
      </w:r>
    </w:p>
    <w:p w14:paraId="21A5FD40"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The role of the main operators, financial cent</w:t>
      </w:r>
      <w:r w:rsidR="00894E2E" w:rsidRPr="001D33C8">
        <w:rPr>
          <w:rFonts w:ascii="Times New Roman" w:hAnsi="Times New Roman"/>
          <w:kern w:val="0"/>
          <w:szCs w:val="24"/>
          <w:lang w:val="en-GB" w:eastAsia="it-IT"/>
        </w:rPr>
        <w:t>res</w:t>
      </w:r>
      <w:r w:rsidR="005458EB" w:rsidRPr="001D33C8">
        <w:rPr>
          <w:rFonts w:ascii="Times New Roman" w:hAnsi="Times New Roman"/>
          <w:kern w:val="0"/>
          <w:szCs w:val="24"/>
          <w:lang w:val="en-GB" w:eastAsia="it-IT"/>
        </w:rPr>
        <w:t xml:space="preserve"> and technology</w:t>
      </w:r>
      <w:r w:rsidRPr="001D33C8">
        <w:rPr>
          <w:rFonts w:ascii="Times New Roman" w:hAnsi="Times New Roman"/>
          <w:kern w:val="0"/>
          <w:szCs w:val="24"/>
          <w:lang w:val="en-GB" w:eastAsia="it-IT"/>
        </w:rPr>
        <w:t>.</w:t>
      </w:r>
    </w:p>
    <w:p w14:paraId="77F1336C" w14:textId="77777777" w:rsidR="00DB30E4" w:rsidRPr="001D33C8" w:rsidRDefault="00DB30E4" w:rsidP="00DB30E4">
      <w:pPr>
        <w:spacing w:before="120"/>
        <w:rPr>
          <w:i/>
          <w:szCs w:val="18"/>
          <w:lang w:val="en-GB"/>
        </w:rPr>
      </w:pPr>
      <w:r w:rsidRPr="001D33C8">
        <w:rPr>
          <w:szCs w:val="18"/>
          <w:lang w:val="en-GB"/>
        </w:rPr>
        <w:t>2.</w:t>
      </w:r>
      <w:r w:rsidRPr="001D33C8">
        <w:rPr>
          <w:szCs w:val="18"/>
          <w:lang w:val="en-GB"/>
        </w:rPr>
        <w:tab/>
      </w:r>
      <w:r w:rsidR="00A21633" w:rsidRPr="001D33C8">
        <w:rPr>
          <w:i/>
          <w:szCs w:val="18"/>
          <w:lang w:val="en-GB"/>
        </w:rPr>
        <w:t>Evolution of the monetary system</w:t>
      </w:r>
    </w:p>
    <w:p w14:paraId="7B4EB8C2" w14:textId="77777777" w:rsidR="00DB30E4" w:rsidRPr="001D33C8" w:rsidRDefault="00DB30E4" w:rsidP="00DB30E4">
      <w:pPr>
        <w:rPr>
          <w:szCs w:val="18"/>
          <w:lang w:val="en-GB"/>
        </w:rPr>
      </w:pPr>
      <w:bookmarkStart w:id="2" w:name="_Hlk70493276"/>
      <w:r w:rsidRPr="001D33C8">
        <w:rPr>
          <w:i/>
          <w:szCs w:val="18"/>
          <w:lang w:val="en-GB"/>
        </w:rPr>
        <w:t>–</w:t>
      </w:r>
      <w:r w:rsidRPr="001D33C8">
        <w:rPr>
          <w:i/>
          <w:szCs w:val="18"/>
          <w:lang w:val="en-GB"/>
        </w:rPr>
        <w:tab/>
      </w:r>
      <w:bookmarkEnd w:id="2"/>
      <w:r w:rsidR="00A21633" w:rsidRPr="001D33C8">
        <w:rPr>
          <w:szCs w:val="18"/>
          <w:lang w:val="en-GB"/>
        </w:rPr>
        <w:t>Anchor currencies and currency regimes in the 21</w:t>
      </w:r>
      <w:r w:rsidR="00A21633" w:rsidRPr="001D33C8">
        <w:rPr>
          <w:szCs w:val="18"/>
          <w:vertAlign w:val="superscript"/>
          <w:lang w:val="en-GB"/>
        </w:rPr>
        <w:t>st</w:t>
      </w:r>
      <w:r w:rsidR="00A21633" w:rsidRPr="001D33C8">
        <w:rPr>
          <w:szCs w:val="18"/>
          <w:lang w:val="en-GB"/>
        </w:rPr>
        <w:t>century</w:t>
      </w:r>
    </w:p>
    <w:p w14:paraId="1612D481" w14:textId="77777777" w:rsidR="00DB30E4" w:rsidRPr="001D33C8" w:rsidRDefault="00DB30E4" w:rsidP="00DB30E4">
      <w:pPr>
        <w:rPr>
          <w:i/>
          <w:lang w:val="en-GB"/>
        </w:rPr>
      </w:pPr>
      <w:r w:rsidRPr="001D33C8">
        <w:rPr>
          <w:i/>
          <w:szCs w:val="18"/>
          <w:lang w:val="en-GB"/>
        </w:rPr>
        <w:t>–</w:t>
      </w:r>
      <w:r w:rsidRPr="001D33C8">
        <w:rPr>
          <w:i/>
          <w:szCs w:val="18"/>
          <w:lang w:val="en-GB"/>
        </w:rPr>
        <w:tab/>
      </w:r>
      <w:r w:rsidR="00A21633" w:rsidRPr="001D33C8">
        <w:rPr>
          <w:szCs w:val="18"/>
          <w:lang w:val="en-GB"/>
        </w:rPr>
        <w:t>The role of the dollar, the euro, the renminbi and other major currencies</w:t>
      </w:r>
    </w:p>
    <w:p w14:paraId="6B6F0D3C" w14:textId="77777777" w:rsidR="00DB30E4" w:rsidRPr="001D33C8" w:rsidRDefault="00DB30E4" w:rsidP="00DB30E4">
      <w:pPr>
        <w:rPr>
          <w:szCs w:val="18"/>
          <w:lang w:val="en-GB"/>
        </w:rPr>
      </w:pPr>
      <w:bookmarkStart w:id="3" w:name="_Hlk70493593"/>
      <w:r w:rsidRPr="001D33C8">
        <w:rPr>
          <w:i/>
          <w:szCs w:val="18"/>
          <w:lang w:val="en-GB"/>
        </w:rPr>
        <w:t>–</w:t>
      </w:r>
      <w:r w:rsidRPr="001D33C8">
        <w:rPr>
          <w:i/>
          <w:szCs w:val="18"/>
          <w:lang w:val="en-GB"/>
        </w:rPr>
        <w:tab/>
      </w:r>
      <w:bookmarkEnd w:id="3"/>
      <w:r w:rsidR="00A21633" w:rsidRPr="001D33C8">
        <w:rPr>
          <w:szCs w:val="18"/>
          <w:lang w:val="en-GB"/>
        </w:rPr>
        <w:t>The new Bretton Wood</w:t>
      </w:r>
    </w:p>
    <w:p w14:paraId="1E5BB5B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As a settlement currency in international trade</w:t>
      </w:r>
    </w:p>
    <w:p w14:paraId="3F576F05"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894E2E" w:rsidRPr="001D33C8">
        <w:rPr>
          <w:rFonts w:ascii="Times New Roman" w:hAnsi="Times New Roman"/>
          <w:kern w:val="0"/>
          <w:szCs w:val="24"/>
          <w:lang w:val="en-GB" w:eastAsia="it-IT"/>
        </w:rPr>
        <w:t xml:space="preserve">Asa </w:t>
      </w:r>
      <w:r w:rsidR="005458EB" w:rsidRPr="001D33C8">
        <w:rPr>
          <w:rFonts w:ascii="Times New Roman" w:hAnsi="Times New Roman"/>
          <w:kern w:val="0"/>
          <w:szCs w:val="24"/>
          <w:lang w:val="en-GB" w:eastAsia="it-IT"/>
        </w:rPr>
        <w:t>trading currency on the financial markets</w:t>
      </w:r>
    </w:p>
    <w:p w14:paraId="184AF37A" w14:textId="77777777" w:rsidR="004A0162" w:rsidRPr="001D33C8" w:rsidRDefault="004A0162" w:rsidP="004A0162">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005458EB" w:rsidRPr="001D33C8">
        <w:rPr>
          <w:rFonts w:ascii="Times New Roman" w:hAnsi="Times New Roman"/>
          <w:kern w:val="0"/>
          <w:szCs w:val="24"/>
          <w:lang w:val="en-GB" w:eastAsia="it-IT"/>
        </w:rPr>
        <w:t>As an international reserve instrument</w:t>
      </w:r>
      <w:r w:rsidRPr="001D33C8">
        <w:rPr>
          <w:rFonts w:ascii="Times New Roman" w:hAnsi="Times New Roman"/>
          <w:kern w:val="0"/>
          <w:szCs w:val="24"/>
          <w:lang w:val="en-GB" w:eastAsia="it-IT"/>
        </w:rPr>
        <w:t>.</w:t>
      </w:r>
    </w:p>
    <w:p w14:paraId="0E6B4EF0" w14:textId="77777777" w:rsidR="00DB30E4" w:rsidRPr="001D33C8" w:rsidRDefault="00DB30E4" w:rsidP="00DB30E4">
      <w:pPr>
        <w:spacing w:before="120"/>
        <w:rPr>
          <w:szCs w:val="18"/>
          <w:lang w:val="en-GB"/>
        </w:rPr>
      </w:pPr>
      <w:r w:rsidRPr="001D33C8">
        <w:rPr>
          <w:szCs w:val="18"/>
          <w:lang w:val="en-GB"/>
        </w:rPr>
        <w:t>3.</w:t>
      </w:r>
      <w:r w:rsidRPr="001D33C8">
        <w:rPr>
          <w:szCs w:val="18"/>
          <w:lang w:val="en-GB"/>
        </w:rPr>
        <w:tab/>
      </w:r>
      <w:r w:rsidR="00A21633" w:rsidRPr="001D33C8">
        <w:rPr>
          <w:i/>
          <w:szCs w:val="18"/>
          <w:lang w:val="en-GB"/>
        </w:rPr>
        <w:t>The empirical evidence and dynamics of the foreign exchange markets</w:t>
      </w:r>
    </w:p>
    <w:p w14:paraId="45C008D5"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The volatility of the foreign exchange market in the 21</w:t>
      </w:r>
      <w:r w:rsidR="00414896" w:rsidRPr="001D33C8">
        <w:rPr>
          <w:szCs w:val="18"/>
          <w:vertAlign w:val="superscript"/>
          <w:lang w:val="en-GB"/>
        </w:rPr>
        <w:t>st</w:t>
      </w:r>
      <w:r w:rsidR="00A21633" w:rsidRPr="001D33C8">
        <w:rPr>
          <w:szCs w:val="18"/>
          <w:lang w:val="en-GB"/>
        </w:rPr>
        <w:t>century</w:t>
      </w:r>
      <w:r w:rsidRPr="001D33C8">
        <w:rPr>
          <w:szCs w:val="18"/>
          <w:lang w:val="en-GB"/>
        </w:rPr>
        <w:t>.</w:t>
      </w:r>
    </w:p>
    <w:p w14:paraId="731F9D55"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What we learnt from the main models</w:t>
      </w:r>
    </w:p>
    <w:p w14:paraId="7F1AB272" w14:textId="77777777" w:rsidR="00DB30E4" w:rsidRPr="001D33C8" w:rsidRDefault="00DB30E4" w:rsidP="00DB30E4">
      <w:pPr>
        <w:spacing w:before="120"/>
        <w:rPr>
          <w:szCs w:val="18"/>
          <w:lang w:val="en-GB"/>
        </w:rPr>
      </w:pPr>
      <w:r w:rsidRPr="001D33C8">
        <w:rPr>
          <w:szCs w:val="18"/>
          <w:lang w:val="en-GB"/>
        </w:rPr>
        <w:t>4.</w:t>
      </w:r>
      <w:r w:rsidRPr="001D33C8">
        <w:rPr>
          <w:szCs w:val="18"/>
          <w:lang w:val="en-GB"/>
        </w:rPr>
        <w:tab/>
      </w:r>
      <w:r w:rsidRPr="001D33C8">
        <w:rPr>
          <w:rFonts w:ascii="Times New Roman" w:hAnsi="Times New Roman"/>
          <w:i/>
          <w:kern w:val="0"/>
          <w:szCs w:val="24"/>
          <w:lang w:val="en-GB" w:eastAsia="it-IT"/>
        </w:rPr>
        <w:t>The European experience in terms of the single currency</w:t>
      </w:r>
    </w:p>
    <w:p w14:paraId="3E3CBAF9"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w:t>
      </w:r>
      <w:r w:rsidRPr="001D33C8">
        <w:rPr>
          <w:rFonts w:ascii="Times New Roman" w:hAnsi="Times New Roman"/>
          <w:kern w:val="0"/>
          <w:szCs w:val="24"/>
          <w:lang w:val="en-GB" w:eastAsia="it-IT"/>
        </w:rPr>
        <w:tab/>
        <w:t>The economic theory of optimal currency areas.</w:t>
      </w:r>
    </w:p>
    <w:p w14:paraId="3ADDAA2A"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Costs and benefits of a common currency.</w:t>
      </w:r>
    </w:p>
    <w:p w14:paraId="64D5E093"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Economic convergence</w:t>
      </w:r>
    </w:p>
    <w:p w14:paraId="7C156700" w14:textId="77777777" w:rsidR="00DB30E4" w:rsidRPr="001D33C8" w:rsidRDefault="00DB30E4" w:rsidP="00DB30E4">
      <w:pPr>
        <w:rPr>
          <w:szCs w:val="18"/>
          <w:lang w:val="en-GB"/>
        </w:rPr>
      </w:pPr>
      <w:r w:rsidRPr="001D33C8">
        <w:rPr>
          <w:szCs w:val="18"/>
          <w:lang w:val="en-GB"/>
        </w:rPr>
        <w:t>–</w:t>
      </w:r>
      <w:r w:rsidRPr="001D33C8">
        <w:rPr>
          <w:szCs w:val="18"/>
          <w:lang w:val="en-GB"/>
        </w:rPr>
        <w:tab/>
      </w:r>
      <w:r w:rsidR="00A21633" w:rsidRPr="001D33C8">
        <w:rPr>
          <w:szCs w:val="18"/>
          <w:lang w:val="en-GB"/>
        </w:rPr>
        <w:t>The role of culture and institutions</w:t>
      </w:r>
      <w:r w:rsidRPr="001D33C8">
        <w:rPr>
          <w:szCs w:val="18"/>
          <w:lang w:val="en-GB"/>
        </w:rPr>
        <w:t xml:space="preserve">. </w:t>
      </w:r>
    </w:p>
    <w:p w14:paraId="5C1D7803" w14:textId="77777777" w:rsidR="00DB30E4" w:rsidRPr="001D33C8" w:rsidRDefault="00DB30E4" w:rsidP="00DB30E4">
      <w:pPr>
        <w:rPr>
          <w:szCs w:val="18"/>
          <w:lang w:val="en-GB"/>
        </w:rPr>
      </w:pPr>
      <w:r w:rsidRPr="001D33C8">
        <w:rPr>
          <w:szCs w:val="18"/>
          <w:lang w:val="en-GB"/>
        </w:rPr>
        <w:t>–</w:t>
      </w:r>
      <w:r w:rsidRPr="001D33C8">
        <w:rPr>
          <w:szCs w:val="18"/>
          <w:lang w:val="en-GB"/>
        </w:rPr>
        <w:tab/>
      </w:r>
      <w:r w:rsidR="00A21633" w:rsidRPr="001D33C8">
        <w:rPr>
          <w:szCs w:val="18"/>
          <w:lang w:val="en-GB"/>
        </w:rPr>
        <w:t>Monetary and budgetary policies in monetary unions</w:t>
      </w:r>
      <w:r w:rsidRPr="001D33C8">
        <w:rPr>
          <w:szCs w:val="18"/>
          <w:lang w:val="en-GB"/>
        </w:rPr>
        <w:t>.</w:t>
      </w:r>
    </w:p>
    <w:p w14:paraId="7192059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 xml:space="preserve">–   How to complete a monetary union. </w:t>
      </w:r>
    </w:p>
    <w:p w14:paraId="09ED97C0" w14:textId="77777777" w:rsidR="00DB30E4" w:rsidRPr="001D33C8" w:rsidRDefault="00DB30E4" w:rsidP="00DB30E4">
      <w:pPr>
        <w:spacing w:before="120"/>
        <w:rPr>
          <w:szCs w:val="18"/>
          <w:lang w:val="en-GB"/>
        </w:rPr>
      </w:pPr>
      <w:r w:rsidRPr="001D33C8">
        <w:rPr>
          <w:szCs w:val="18"/>
          <w:lang w:val="en-GB"/>
        </w:rPr>
        <w:t>5.</w:t>
      </w:r>
      <w:r w:rsidRPr="001D33C8">
        <w:rPr>
          <w:szCs w:val="18"/>
          <w:lang w:val="en-GB"/>
        </w:rPr>
        <w:tab/>
      </w:r>
      <w:r w:rsidR="00A21633" w:rsidRPr="001D33C8">
        <w:rPr>
          <w:i/>
          <w:szCs w:val="18"/>
          <w:lang w:val="en-GB"/>
        </w:rPr>
        <w:t>Causes and consequences of currency and financial crises</w:t>
      </w:r>
    </w:p>
    <w:p w14:paraId="7AE35A37"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A21633" w:rsidRPr="001D33C8">
        <w:rPr>
          <w:szCs w:val="18"/>
          <w:lang w:val="en-GB"/>
        </w:rPr>
        <w:t>The new banking and financial scenario</w:t>
      </w:r>
    </w:p>
    <w:p w14:paraId="7F08FC64"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1D098C" w:rsidRPr="001D33C8">
        <w:rPr>
          <w:szCs w:val="18"/>
          <w:lang w:val="en-GB"/>
        </w:rPr>
        <w:t>Financial crises and systemic risk</w:t>
      </w:r>
    </w:p>
    <w:p w14:paraId="16C797D2" w14:textId="77777777" w:rsidR="00DB30E4" w:rsidRPr="001D33C8" w:rsidRDefault="00DB30E4" w:rsidP="00DB30E4">
      <w:pPr>
        <w:rPr>
          <w:szCs w:val="18"/>
          <w:lang w:val="en-GB"/>
        </w:rPr>
      </w:pPr>
      <w:bookmarkStart w:id="4" w:name="_Hlk70494893"/>
      <w:r w:rsidRPr="001D33C8">
        <w:rPr>
          <w:i/>
          <w:szCs w:val="18"/>
          <w:lang w:val="en-GB"/>
        </w:rPr>
        <w:t>–</w:t>
      </w:r>
      <w:r w:rsidRPr="001D33C8">
        <w:rPr>
          <w:i/>
          <w:szCs w:val="18"/>
          <w:lang w:val="en-GB"/>
        </w:rPr>
        <w:tab/>
      </w:r>
      <w:bookmarkEnd w:id="4"/>
      <w:r w:rsidR="001D098C" w:rsidRPr="001D33C8">
        <w:rPr>
          <w:szCs w:val="18"/>
          <w:lang w:val="en-GB"/>
        </w:rPr>
        <w:t>Distinction between solvency and liquidity crises</w:t>
      </w:r>
    </w:p>
    <w:p w14:paraId="021800C6" w14:textId="77777777" w:rsidR="00DB30E4" w:rsidRPr="001D33C8" w:rsidRDefault="00DB30E4" w:rsidP="00DB30E4">
      <w:pPr>
        <w:rPr>
          <w:szCs w:val="18"/>
          <w:lang w:val="en-GB"/>
        </w:rPr>
      </w:pPr>
      <w:r w:rsidRPr="001D33C8">
        <w:rPr>
          <w:szCs w:val="18"/>
          <w:lang w:val="en-GB"/>
        </w:rPr>
        <w:lastRenderedPageBreak/>
        <w:t>–</w:t>
      </w:r>
      <w:r w:rsidRPr="001D33C8">
        <w:rPr>
          <w:szCs w:val="18"/>
          <w:lang w:val="en-GB"/>
        </w:rPr>
        <w:tab/>
        <w:t>Flight to safety/quality</w:t>
      </w:r>
    </w:p>
    <w:p w14:paraId="6DE26938" w14:textId="77777777" w:rsidR="00DB30E4" w:rsidRPr="001D33C8" w:rsidRDefault="00DB30E4" w:rsidP="00DB30E4">
      <w:pPr>
        <w:rPr>
          <w:szCs w:val="18"/>
          <w:lang w:val="en-GB"/>
        </w:rPr>
      </w:pPr>
      <w:r w:rsidRPr="001D33C8">
        <w:rPr>
          <w:i/>
          <w:szCs w:val="18"/>
          <w:lang w:val="en-GB"/>
        </w:rPr>
        <w:t>–</w:t>
      </w:r>
      <w:r w:rsidRPr="001D33C8">
        <w:rPr>
          <w:i/>
          <w:szCs w:val="18"/>
          <w:lang w:val="en-GB"/>
        </w:rPr>
        <w:tab/>
      </w:r>
      <w:r w:rsidR="001D098C" w:rsidRPr="001D33C8">
        <w:rPr>
          <w:szCs w:val="18"/>
          <w:lang w:val="en-GB"/>
        </w:rPr>
        <w:t>The role of unconventional monetary policies</w:t>
      </w:r>
    </w:p>
    <w:p w14:paraId="21EB7984" w14:textId="77777777" w:rsidR="00DB30E4" w:rsidRPr="001D33C8" w:rsidRDefault="00DB30E4" w:rsidP="00DB30E4">
      <w:pPr>
        <w:suppressAutoHyphens w:val="0"/>
        <w:spacing w:before="120"/>
        <w:rPr>
          <w:rFonts w:ascii="Times New Roman" w:hAnsi="Times New Roman"/>
          <w:i/>
          <w:kern w:val="0"/>
          <w:szCs w:val="24"/>
          <w:lang w:val="en-GB" w:eastAsia="it-IT"/>
        </w:rPr>
      </w:pPr>
      <w:bookmarkStart w:id="5" w:name="_Hlk31967499"/>
      <w:r w:rsidRPr="001D33C8">
        <w:rPr>
          <w:rFonts w:ascii="Times New Roman" w:hAnsi="Times New Roman"/>
          <w:kern w:val="0"/>
          <w:szCs w:val="24"/>
          <w:lang w:val="en-GB" w:eastAsia="it-IT"/>
        </w:rPr>
        <w:t>6.</w:t>
      </w:r>
      <w:r w:rsidRPr="001D33C8">
        <w:rPr>
          <w:rFonts w:ascii="Times New Roman" w:hAnsi="Times New Roman"/>
          <w:kern w:val="0"/>
          <w:szCs w:val="24"/>
          <w:lang w:val="en-GB" w:eastAsia="it-IT"/>
        </w:rPr>
        <w:tab/>
      </w:r>
      <w:r w:rsidRPr="001D33C8">
        <w:rPr>
          <w:rFonts w:ascii="Times New Roman" w:hAnsi="Times New Roman"/>
          <w:i/>
          <w:kern w:val="0"/>
          <w:szCs w:val="24"/>
          <w:lang w:val="en-GB" w:eastAsia="it-IT"/>
        </w:rPr>
        <w:t>Islamic finance</w:t>
      </w:r>
    </w:p>
    <w:p w14:paraId="61A18435"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Genesis and reasons for growth</w:t>
      </w:r>
    </w:p>
    <w:p w14:paraId="0C59DB7F"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Islamic bank</w:t>
      </w:r>
    </w:p>
    <w:p w14:paraId="6E463C60"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sukuk.</w:t>
      </w:r>
    </w:p>
    <w:p w14:paraId="1787134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kern w:val="0"/>
          <w:szCs w:val="24"/>
          <w:lang w:val="en-GB" w:eastAsia="it-IT"/>
        </w:rPr>
        <w:tab/>
        <w:t xml:space="preserve">Indices and funds  </w:t>
      </w:r>
    </w:p>
    <w:p w14:paraId="33FB73EB"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kern w:val="0"/>
          <w:szCs w:val="24"/>
          <w:lang w:val="en-GB" w:eastAsia="it-IT"/>
        </w:rPr>
        <w:t>–</w:t>
      </w:r>
      <w:r w:rsidRPr="001D33C8">
        <w:rPr>
          <w:rFonts w:ascii="Times New Roman" w:hAnsi="Times New Roman"/>
          <w:kern w:val="0"/>
          <w:szCs w:val="24"/>
          <w:lang w:val="en-GB" w:eastAsia="it-IT"/>
        </w:rPr>
        <w:tab/>
        <w:t xml:space="preserve">Islamic insurance  </w:t>
      </w:r>
      <w:bookmarkEnd w:id="5"/>
    </w:p>
    <w:p w14:paraId="509AD224" w14:textId="77777777" w:rsidR="00DB30E4" w:rsidRPr="001D33C8" w:rsidRDefault="00DB30E4" w:rsidP="00DB30E4">
      <w:pPr>
        <w:suppressAutoHyphens w:val="0"/>
        <w:spacing w:before="120"/>
        <w:rPr>
          <w:rFonts w:ascii="Times New Roman" w:hAnsi="Times New Roman"/>
          <w:i/>
          <w:kern w:val="0"/>
          <w:szCs w:val="24"/>
          <w:lang w:val="en-GB" w:eastAsia="it-IT"/>
        </w:rPr>
      </w:pPr>
      <w:r w:rsidRPr="001D33C8">
        <w:rPr>
          <w:rFonts w:ascii="Times New Roman" w:hAnsi="Times New Roman"/>
          <w:kern w:val="0"/>
          <w:szCs w:val="24"/>
          <w:lang w:val="en-GB" w:eastAsia="it-IT"/>
        </w:rPr>
        <w:t>7.</w:t>
      </w:r>
      <w:r w:rsidRPr="001D33C8">
        <w:rPr>
          <w:rFonts w:ascii="Times New Roman" w:hAnsi="Times New Roman"/>
          <w:kern w:val="0"/>
          <w:szCs w:val="24"/>
          <w:lang w:val="en-GB" w:eastAsia="it-IT"/>
        </w:rPr>
        <w:tab/>
      </w:r>
      <w:r w:rsidRPr="001D33C8">
        <w:rPr>
          <w:rFonts w:ascii="Times New Roman" w:hAnsi="Times New Roman"/>
          <w:i/>
          <w:kern w:val="0"/>
          <w:szCs w:val="24"/>
          <w:lang w:val="en-GB" w:eastAsia="it-IT"/>
        </w:rPr>
        <w:t>Populism</w:t>
      </w:r>
    </w:p>
    <w:p w14:paraId="5E7C8BC3"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A reasonable definition</w:t>
      </w:r>
    </w:p>
    <w:p w14:paraId="6B0AAC20"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Models of affirmation of populism in world history and geography</w:t>
      </w:r>
    </w:p>
    <w:p w14:paraId="137A443C" w14:textId="77777777" w:rsidR="00DB30E4" w:rsidRPr="001D33C8" w:rsidRDefault="00DB30E4" w:rsidP="00DB30E4">
      <w:pPr>
        <w:suppressAutoHyphens w:val="0"/>
        <w:rPr>
          <w:rFonts w:ascii="Times New Roman" w:hAnsi="Times New Roman"/>
          <w:kern w:val="0"/>
          <w:szCs w:val="24"/>
          <w:lang w:val="en-GB" w:eastAsia="it-IT"/>
        </w:rPr>
      </w:pPr>
      <w:bookmarkStart w:id="6" w:name="_Hlk31968118"/>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bookmarkEnd w:id="6"/>
      <w:r w:rsidRPr="001D33C8">
        <w:rPr>
          <w:rFonts w:ascii="Times New Roman" w:hAnsi="Times New Roman"/>
          <w:kern w:val="0"/>
          <w:szCs w:val="24"/>
          <w:lang w:val="en-GB" w:eastAsia="it-IT"/>
        </w:rPr>
        <w:t>Supply and demand</w:t>
      </w:r>
    </w:p>
    <w:p w14:paraId="549867F8"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Economic, social and political causes</w:t>
      </w:r>
    </w:p>
    <w:p w14:paraId="75D97B71" w14:textId="77777777" w:rsidR="00DB30E4" w:rsidRPr="001D33C8" w:rsidRDefault="00DB30E4" w:rsidP="00DB30E4">
      <w:pPr>
        <w:suppressAutoHyphens w:val="0"/>
        <w:rPr>
          <w:rFonts w:ascii="Times New Roman" w:hAnsi="Times New Roman"/>
          <w:kern w:val="0"/>
          <w:szCs w:val="24"/>
          <w:lang w:val="en-GB" w:eastAsia="it-IT"/>
        </w:rPr>
      </w:pPr>
      <w:r w:rsidRPr="001D33C8">
        <w:rPr>
          <w:rFonts w:ascii="Times New Roman" w:hAnsi="Times New Roman"/>
          <w:i/>
          <w:kern w:val="0"/>
          <w:szCs w:val="24"/>
          <w:lang w:val="en-GB" w:eastAsia="it-IT"/>
        </w:rPr>
        <w:t>–</w:t>
      </w:r>
      <w:r w:rsidRPr="001D33C8">
        <w:rPr>
          <w:rFonts w:ascii="Times New Roman" w:hAnsi="Times New Roman"/>
          <w:i/>
          <w:kern w:val="0"/>
          <w:szCs w:val="24"/>
          <w:lang w:val="en-GB" w:eastAsia="it-IT"/>
        </w:rPr>
        <w:tab/>
      </w:r>
      <w:r w:rsidRPr="001D33C8">
        <w:rPr>
          <w:rFonts w:ascii="Times New Roman" w:hAnsi="Times New Roman"/>
          <w:kern w:val="0"/>
          <w:szCs w:val="24"/>
          <w:lang w:val="en-GB" w:eastAsia="it-IT"/>
        </w:rPr>
        <w:t>The role of the media</w:t>
      </w:r>
    </w:p>
    <w:p w14:paraId="789321D7" w14:textId="77777777" w:rsidR="00252F07" w:rsidRPr="001D33C8" w:rsidRDefault="006C68A0">
      <w:pPr>
        <w:spacing w:before="240" w:after="120"/>
        <w:rPr>
          <w:lang w:val="en-GB"/>
        </w:rPr>
      </w:pPr>
      <w:r w:rsidRPr="001D33C8">
        <w:rPr>
          <w:b/>
          <w:i/>
          <w:sz w:val="18"/>
          <w:lang w:val="en-GB"/>
        </w:rPr>
        <w:t>READING LIST</w:t>
      </w:r>
    </w:p>
    <w:p w14:paraId="3F863EC0" w14:textId="77777777" w:rsidR="00DB30E4" w:rsidRPr="001D33C8" w:rsidRDefault="00DB30E4" w:rsidP="00DB30E4">
      <w:pPr>
        <w:pStyle w:val="Testo1"/>
        <w:spacing w:line="240" w:lineRule="auto"/>
        <w:rPr>
          <w:rFonts w:ascii="Times New Roman" w:hAnsi="Times New Roman"/>
          <w:b/>
          <w:i/>
          <w:lang w:val="en-GB"/>
        </w:rPr>
      </w:pPr>
      <w:r w:rsidRPr="001D33C8">
        <w:rPr>
          <w:rFonts w:ascii="Times New Roman" w:hAnsi="Times New Roman"/>
          <w:b/>
          <w:i/>
          <w:lang w:val="en-GB"/>
        </w:rPr>
        <w:t>I Modul</w:t>
      </w:r>
      <w:r w:rsidR="00C22659" w:rsidRPr="001D33C8">
        <w:rPr>
          <w:rFonts w:ascii="Times New Roman" w:hAnsi="Times New Roman"/>
          <w:b/>
          <w:i/>
          <w:lang w:val="en-GB"/>
        </w:rPr>
        <w:t>e</w:t>
      </w:r>
    </w:p>
    <w:p w14:paraId="1C221927"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 xml:space="preserve">Compulsory readings </w:t>
      </w:r>
    </w:p>
    <w:p w14:paraId="632BB8FE"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t xml:space="preserve">F.C. </w:t>
      </w:r>
      <w:proofErr w:type="spellStart"/>
      <w:r w:rsidRPr="001D33C8">
        <w:rPr>
          <w:rFonts w:ascii="Times New Roman" w:hAnsi="Times New Roman"/>
          <w:smallCaps/>
          <w:kern w:val="16"/>
          <w:sz w:val="16"/>
        </w:rPr>
        <w:t>Bagliano</w:t>
      </w:r>
      <w:proofErr w:type="spellEnd"/>
      <w:r w:rsidRPr="001D33C8">
        <w:rPr>
          <w:rFonts w:ascii="Times New Roman" w:hAnsi="Times New Roman"/>
        </w:rPr>
        <w:t xml:space="preserve">, </w:t>
      </w:r>
      <w:r w:rsidRPr="001D33C8">
        <w:rPr>
          <w:rFonts w:ascii="Times New Roman" w:hAnsi="Times New Roman"/>
          <w:i/>
        </w:rPr>
        <w:t>Appunti su aspettative razionali e Nuova Macroeconomia Classica</w:t>
      </w:r>
      <w:r w:rsidRPr="001D33C8">
        <w:rPr>
          <w:rFonts w:ascii="Times New Roman" w:hAnsi="Times New Roman"/>
        </w:rPr>
        <w:t>, (</w:t>
      </w:r>
      <w:proofErr w:type="spellStart"/>
      <w:r w:rsidRPr="001D33C8">
        <w:rPr>
          <w:rFonts w:ascii="Times New Roman" w:hAnsi="Times New Roman"/>
        </w:rPr>
        <w:t>Blackboard</w:t>
      </w:r>
      <w:proofErr w:type="spellEnd"/>
      <w:r w:rsidRPr="001D33C8">
        <w:rPr>
          <w:rFonts w:ascii="Times New Roman" w:hAnsi="Times New Roman"/>
        </w:rPr>
        <w:t>).</w:t>
      </w:r>
    </w:p>
    <w:p w14:paraId="1F64E196"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t>A. Boitani</w:t>
      </w:r>
      <w:r w:rsidRPr="001D33C8">
        <w:rPr>
          <w:rFonts w:ascii="Times New Roman" w:hAnsi="Times New Roman"/>
        </w:rPr>
        <w:t>, Macroeconomia, Il Mulino, 2019 (</w:t>
      </w:r>
      <w:proofErr w:type="spellStart"/>
      <w:r w:rsidRPr="001D33C8">
        <w:rPr>
          <w:rFonts w:ascii="Times New Roman" w:hAnsi="Times New Roman"/>
        </w:rPr>
        <w:t>c</w:t>
      </w:r>
      <w:r w:rsidR="00C22659" w:rsidRPr="001D33C8">
        <w:rPr>
          <w:rFonts w:ascii="Times New Roman" w:hAnsi="Times New Roman"/>
        </w:rPr>
        <w:t>hs</w:t>
      </w:r>
      <w:proofErr w:type="spellEnd"/>
      <w:r w:rsidRPr="001D33C8">
        <w:rPr>
          <w:rFonts w:ascii="Times New Roman" w:hAnsi="Times New Roman"/>
        </w:rPr>
        <w:t>. 16, 17).</w:t>
      </w:r>
    </w:p>
    <w:p w14:paraId="7C2EEDE3"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P. </w:t>
      </w:r>
      <w:proofErr w:type="spellStart"/>
      <w:r w:rsidRPr="001D33C8">
        <w:rPr>
          <w:rFonts w:ascii="Times New Roman" w:hAnsi="Times New Roman"/>
          <w:smallCaps/>
          <w:kern w:val="16"/>
          <w:sz w:val="16"/>
          <w:lang w:val="en-GB"/>
        </w:rPr>
        <w:t>Bofinger</w:t>
      </w:r>
      <w:proofErr w:type="spellEnd"/>
      <w:r w:rsidRPr="001D33C8">
        <w:rPr>
          <w:rFonts w:ascii="Times New Roman" w:hAnsi="Times New Roman"/>
          <w:smallCaps/>
          <w:kern w:val="16"/>
          <w:sz w:val="16"/>
          <w:lang w:val="en-GB"/>
        </w:rPr>
        <w:t>-E. Mayer</w:t>
      </w:r>
      <w:r w:rsidRPr="001D33C8">
        <w:rPr>
          <w:rFonts w:ascii="Times New Roman" w:hAnsi="Times New Roman"/>
          <w:lang w:val="en-GB"/>
        </w:rPr>
        <w:t xml:space="preserve">, </w:t>
      </w:r>
      <w:r w:rsidRPr="001D33C8">
        <w:rPr>
          <w:rFonts w:ascii="Times New Roman" w:hAnsi="Times New Roman"/>
          <w:i/>
          <w:lang w:val="en-GB"/>
        </w:rPr>
        <w:t xml:space="preserve">Monetary and fiscal policy interaction in a closed economy, </w:t>
      </w:r>
      <w:r w:rsidRPr="001D33C8">
        <w:rPr>
          <w:rFonts w:ascii="Times New Roman" w:hAnsi="Times New Roman"/>
          <w:lang w:val="en-GB"/>
        </w:rPr>
        <w:t>(Blackboard).</w:t>
      </w:r>
    </w:p>
    <w:p w14:paraId="2F6918B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P. </w:t>
      </w:r>
      <w:proofErr w:type="spellStart"/>
      <w:r w:rsidRPr="001D33C8">
        <w:rPr>
          <w:rFonts w:ascii="Times New Roman" w:hAnsi="Times New Roman"/>
          <w:smallCaps/>
          <w:kern w:val="16"/>
          <w:sz w:val="16"/>
          <w:lang w:val="en-GB"/>
        </w:rPr>
        <w:t>Bofinger</w:t>
      </w:r>
      <w:proofErr w:type="spellEnd"/>
      <w:r w:rsidRPr="001D33C8">
        <w:rPr>
          <w:rFonts w:ascii="Times New Roman" w:hAnsi="Times New Roman"/>
          <w:smallCaps/>
          <w:kern w:val="16"/>
          <w:sz w:val="16"/>
          <w:lang w:val="en-GB"/>
        </w:rPr>
        <w:t>-E. Mayer</w:t>
      </w:r>
      <w:r w:rsidRPr="001D33C8">
        <w:rPr>
          <w:rFonts w:ascii="Times New Roman" w:hAnsi="Times New Roman"/>
          <w:lang w:val="en-GB"/>
        </w:rPr>
        <w:t xml:space="preserve">, </w:t>
      </w:r>
      <w:r w:rsidRPr="001D33C8">
        <w:rPr>
          <w:rFonts w:ascii="Times New Roman" w:hAnsi="Times New Roman"/>
          <w:i/>
          <w:lang w:val="en-GB"/>
        </w:rPr>
        <w:t>Monetary and fiscal policy interaction in the Euro Area with different assumptions on the Phillips curve</w:t>
      </w:r>
      <w:r w:rsidRPr="001D33C8">
        <w:rPr>
          <w:rFonts w:ascii="Times New Roman" w:hAnsi="Times New Roman"/>
          <w:lang w:val="en-GB"/>
        </w:rPr>
        <w:t>, Open Economy Review (2007), 18: 291-305 (Blackboard).</w:t>
      </w:r>
    </w:p>
    <w:p w14:paraId="35B4AA39" w14:textId="2D8F736B" w:rsidR="00DB30E4" w:rsidRPr="00714DA6" w:rsidRDefault="00714DA6" w:rsidP="00714DA6">
      <w:pPr>
        <w:rPr>
          <w:sz w:val="18"/>
          <w:szCs w:val="18"/>
        </w:rPr>
      </w:pPr>
      <w:r w:rsidRPr="00296101">
        <w:rPr>
          <w:smallCaps/>
          <w:sz w:val="16"/>
          <w:szCs w:val="18"/>
        </w:rPr>
        <w:t>A. Baglioni</w:t>
      </w:r>
      <w:r w:rsidRPr="00810E3E">
        <w:rPr>
          <w:sz w:val="18"/>
          <w:szCs w:val="18"/>
        </w:rPr>
        <w:t xml:space="preserve">, </w:t>
      </w:r>
      <w:r w:rsidRPr="00810E3E">
        <w:rPr>
          <w:i/>
          <w:iCs/>
          <w:sz w:val="18"/>
          <w:szCs w:val="18"/>
        </w:rPr>
        <w:t xml:space="preserve">Le </w:t>
      </w:r>
      <w:proofErr w:type="spellStart"/>
      <w:r w:rsidRPr="00810E3E">
        <w:rPr>
          <w:i/>
          <w:iCs/>
          <w:sz w:val="18"/>
          <w:szCs w:val="18"/>
        </w:rPr>
        <w:t>frontier</w:t>
      </w:r>
      <w:proofErr w:type="spellEnd"/>
      <w:r w:rsidRPr="00810E3E">
        <w:rPr>
          <w:i/>
          <w:iCs/>
          <w:sz w:val="18"/>
          <w:szCs w:val="18"/>
        </w:rPr>
        <w:t xml:space="preserve"> della politica monetaria</w:t>
      </w:r>
      <w:r>
        <w:rPr>
          <w:sz w:val="18"/>
          <w:szCs w:val="18"/>
        </w:rPr>
        <w:t>, Hoepli, 2021</w:t>
      </w:r>
      <w:r w:rsidRPr="00810E3E">
        <w:rPr>
          <w:sz w:val="18"/>
          <w:szCs w:val="18"/>
        </w:rPr>
        <w:t xml:space="preserve"> (cap. </w:t>
      </w:r>
      <w:r>
        <w:rPr>
          <w:sz w:val="18"/>
          <w:szCs w:val="18"/>
        </w:rPr>
        <w:t>2)</w:t>
      </w:r>
      <w:r w:rsidRPr="00810E3E">
        <w:rPr>
          <w:sz w:val="18"/>
          <w:szCs w:val="18"/>
        </w:rPr>
        <w:t>.</w:t>
      </w:r>
      <w:r>
        <w:rPr>
          <w:rFonts w:ascii="Times New Roman" w:hAnsi="Times New Roman"/>
          <w:smallCaps/>
          <w:kern w:val="16"/>
          <w:sz w:val="16"/>
        </w:rPr>
        <w:t xml:space="preserve"> </w:t>
      </w:r>
    </w:p>
    <w:p w14:paraId="6EF32472" w14:textId="77777777" w:rsidR="00DB30E4" w:rsidRPr="001D33C8" w:rsidRDefault="00C22659" w:rsidP="00DB30E4">
      <w:pPr>
        <w:pStyle w:val="Testo1"/>
        <w:spacing w:before="120" w:line="240" w:lineRule="auto"/>
        <w:rPr>
          <w:rFonts w:ascii="Times New Roman" w:hAnsi="Times New Roman"/>
          <w:lang w:val="en-GB"/>
        </w:rPr>
      </w:pPr>
      <w:r w:rsidRPr="001D33C8">
        <w:rPr>
          <w:rFonts w:ascii="Times New Roman" w:hAnsi="Times New Roman"/>
          <w:lang w:val="en-GB"/>
        </w:rPr>
        <w:t xml:space="preserve">Suggested readings </w:t>
      </w:r>
    </w:p>
    <w:p w14:paraId="00CA1E28"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Further reading list suggestions will be provided by the lecturers and during the course</w:t>
      </w:r>
      <w:r w:rsidR="00DB30E4" w:rsidRPr="001D33C8">
        <w:rPr>
          <w:rFonts w:ascii="Times New Roman" w:hAnsi="Times New Roman"/>
          <w:lang w:val="en-GB"/>
        </w:rPr>
        <w:t>.</w:t>
      </w:r>
    </w:p>
    <w:p w14:paraId="64F39801" w14:textId="77777777" w:rsidR="00252F07" w:rsidRPr="001D33C8" w:rsidRDefault="006C68A0" w:rsidP="00DB30E4">
      <w:pPr>
        <w:pStyle w:val="Testo1"/>
        <w:spacing w:before="120" w:line="240" w:lineRule="auto"/>
        <w:rPr>
          <w:rFonts w:ascii="Times New Roman" w:hAnsi="Times New Roman"/>
          <w:b/>
          <w:i/>
          <w:lang w:val="en-GB"/>
        </w:rPr>
      </w:pPr>
      <w:r w:rsidRPr="001D33C8">
        <w:rPr>
          <w:rFonts w:ascii="Times New Roman" w:hAnsi="Times New Roman"/>
          <w:b/>
          <w:i/>
          <w:lang w:val="en-GB"/>
        </w:rPr>
        <w:t>Module II</w:t>
      </w:r>
    </w:p>
    <w:p w14:paraId="701B5666"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Compulsory readings</w:t>
      </w:r>
    </w:p>
    <w:p w14:paraId="63CE6BE8" w14:textId="77777777" w:rsidR="00DB30E4" w:rsidRPr="001D33C8" w:rsidRDefault="00DB30E4" w:rsidP="00DB30E4">
      <w:pPr>
        <w:pStyle w:val="Testo1"/>
        <w:spacing w:line="240" w:lineRule="auto"/>
        <w:rPr>
          <w:rFonts w:ascii="Times New Roman" w:hAnsi="Times New Roman"/>
          <w:lang w:val="en-GB"/>
        </w:rPr>
      </w:pPr>
      <w:bookmarkStart w:id="7" w:name="_Hlk29915640"/>
      <w:r w:rsidRPr="001D33C8">
        <w:rPr>
          <w:rFonts w:ascii="Times New Roman" w:hAnsi="Times New Roman"/>
          <w:smallCaps/>
          <w:kern w:val="16"/>
          <w:sz w:val="16"/>
          <w:lang w:val="en-GB"/>
        </w:rPr>
        <w:t>BIS</w:t>
      </w:r>
      <w:r w:rsidRPr="001D33C8">
        <w:rPr>
          <w:rFonts w:ascii="Times New Roman" w:hAnsi="Times New Roman"/>
          <w:lang w:val="en-GB"/>
        </w:rPr>
        <w:t xml:space="preserve">, </w:t>
      </w:r>
      <w:r w:rsidRPr="001D33C8">
        <w:rPr>
          <w:rFonts w:ascii="Times New Roman" w:hAnsi="Times New Roman"/>
          <w:i/>
          <w:lang w:val="en-GB"/>
        </w:rPr>
        <w:t>Triennial Central Bank Survey</w:t>
      </w:r>
      <w:r w:rsidRPr="001D33C8">
        <w:rPr>
          <w:rFonts w:ascii="Times New Roman" w:hAnsi="Times New Roman"/>
          <w:lang w:val="en-GB"/>
        </w:rPr>
        <w:t>,</w:t>
      </w:r>
      <w:r w:rsidR="00FB0288" w:rsidRPr="001D33C8">
        <w:rPr>
          <w:rFonts w:ascii="Times New Roman" w:hAnsi="Times New Roman"/>
          <w:lang w:val="en-GB"/>
        </w:rPr>
        <w:t xml:space="preserve"> </w:t>
      </w:r>
      <w:r w:rsidRPr="001D33C8">
        <w:rPr>
          <w:rFonts w:ascii="Times New Roman" w:hAnsi="Times New Roman"/>
          <w:lang w:val="en-GB"/>
        </w:rPr>
        <w:t>Global Foreign E</w:t>
      </w:r>
      <w:r w:rsidR="00FB0288" w:rsidRPr="001D33C8">
        <w:rPr>
          <w:rFonts w:ascii="Times New Roman" w:hAnsi="Times New Roman"/>
          <w:lang w:val="en-GB"/>
        </w:rPr>
        <w:t>x</w:t>
      </w:r>
      <w:r w:rsidRPr="001D33C8">
        <w:rPr>
          <w:rFonts w:ascii="Times New Roman" w:hAnsi="Times New Roman"/>
          <w:lang w:val="en-GB"/>
        </w:rPr>
        <w:t xml:space="preserve">change Turnover in 2019. </w:t>
      </w:r>
      <w:bookmarkEnd w:id="7"/>
    </w:p>
    <w:p w14:paraId="010E9002"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A. </w:t>
      </w:r>
      <w:proofErr w:type="spellStart"/>
      <w:r w:rsidRPr="001D33C8">
        <w:rPr>
          <w:rFonts w:ascii="Times New Roman" w:hAnsi="Times New Roman"/>
          <w:smallCaps/>
          <w:kern w:val="16"/>
          <w:sz w:val="16"/>
          <w:lang w:val="en-GB"/>
        </w:rPr>
        <w:t>Schrimpf</w:t>
      </w:r>
      <w:proofErr w:type="spellEnd"/>
      <w:r w:rsidRPr="001D33C8">
        <w:rPr>
          <w:rFonts w:ascii="Times New Roman" w:hAnsi="Times New Roman"/>
          <w:smallCaps/>
          <w:kern w:val="16"/>
          <w:sz w:val="16"/>
          <w:lang w:val="en-GB"/>
        </w:rPr>
        <w:t xml:space="preserve">-V. </w:t>
      </w:r>
      <w:proofErr w:type="spellStart"/>
      <w:r w:rsidRPr="001D33C8">
        <w:rPr>
          <w:rFonts w:ascii="Times New Roman" w:hAnsi="Times New Roman"/>
          <w:smallCaps/>
          <w:kern w:val="16"/>
          <w:sz w:val="16"/>
          <w:lang w:val="en-GB"/>
        </w:rPr>
        <w:t>Sushko</w:t>
      </w:r>
      <w:proofErr w:type="spellEnd"/>
      <w:r w:rsidRPr="001D33C8">
        <w:rPr>
          <w:rFonts w:ascii="Times New Roman" w:hAnsi="Times New Roman"/>
          <w:lang w:val="en-GB"/>
        </w:rPr>
        <w:t xml:space="preserve">, </w:t>
      </w:r>
      <w:r w:rsidRPr="001D33C8">
        <w:rPr>
          <w:rFonts w:ascii="Times New Roman" w:hAnsi="Times New Roman"/>
          <w:i/>
          <w:lang w:val="en-GB"/>
        </w:rPr>
        <w:t>Sizing up global foreign exchange markets</w:t>
      </w:r>
      <w:r w:rsidRPr="001D33C8">
        <w:rPr>
          <w:rFonts w:ascii="Times New Roman" w:hAnsi="Times New Roman"/>
          <w:lang w:val="en-GB"/>
        </w:rPr>
        <w:t>,</w:t>
      </w:r>
      <w:r w:rsidR="00FB0288" w:rsidRPr="001D33C8">
        <w:rPr>
          <w:rFonts w:ascii="Times New Roman" w:hAnsi="Times New Roman"/>
          <w:lang w:val="en-GB"/>
        </w:rPr>
        <w:t xml:space="preserve"> </w:t>
      </w:r>
      <w:proofErr w:type="spellStart"/>
      <w:r w:rsidR="00FB0288" w:rsidRPr="001D33C8">
        <w:rPr>
          <w:rFonts w:ascii="Times New Roman" w:hAnsi="Times New Roman"/>
          <w:lang w:val="en-GB"/>
        </w:rPr>
        <w:t>i</w:t>
      </w:r>
      <w:r w:rsidRPr="001D33C8">
        <w:rPr>
          <w:rFonts w:ascii="Times New Roman" w:hAnsi="Times New Roman"/>
          <w:lang w:val="en-GB"/>
        </w:rPr>
        <w:t>BIS</w:t>
      </w:r>
      <w:proofErr w:type="spellEnd"/>
      <w:r w:rsidRPr="001D33C8">
        <w:rPr>
          <w:rFonts w:ascii="Times New Roman" w:hAnsi="Times New Roman"/>
          <w:lang w:val="en-GB"/>
        </w:rPr>
        <w:t xml:space="preserve"> Quarterly Review, December 2019.</w:t>
      </w:r>
    </w:p>
    <w:p w14:paraId="26B73F58" w14:textId="77777777" w:rsidR="00DB30E4" w:rsidRPr="001D33C8" w:rsidRDefault="00DB30E4" w:rsidP="00DB30E4">
      <w:pPr>
        <w:pStyle w:val="Testo1"/>
        <w:spacing w:line="240" w:lineRule="auto"/>
        <w:rPr>
          <w:rFonts w:ascii="Times New Roman" w:hAnsi="Times New Roman"/>
          <w:i/>
          <w:lang w:val="en-GB"/>
        </w:rPr>
      </w:pPr>
      <w:bookmarkStart w:id="8" w:name="_Hlk70491299"/>
      <w:proofErr w:type="spellStart"/>
      <w:r w:rsidRPr="001D33C8">
        <w:rPr>
          <w:rFonts w:ascii="Times New Roman" w:hAnsi="Times New Roman"/>
          <w:smallCaps/>
          <w:kern w:val="16"/>
          <w:sz w:val="16"/>
          <w:lang w:val="en-GB"/>
        </w:rPr>
        <w:t>Ilzetzki</w:t>
      </w:r>
      <w:proofErr w:type="spellEnd"/>
      <w:r w:rsidRPr="001D33C8">
        <w:rPr>
          <w:rFonts w:ascii="Times New Roman" w:hAnsi="Times New Roman"/>
          <w:smallCaps/>
          <w:kern w:val="16"/>
          <w:sz w:val="16"/>
          <w:lang w:val="en-GB"/>
        </w:rPr>
        <w:t>-Reinhart-</w:t>
      </w:r>
      <w:proofErr w:type="spellStart"/>
      <w:r w:rsidRPr="001D33C8">
        <w:rPr>
          <w:rFonts w:ascii="Times New Roman" w:hAnsi="Times New Roman"/>
          <w:smallCaps/>
          <w:kern w:val="16"/>
          <w:sz w:val="16"/>
          <w:lang w:val="en-GB"/>
        </w:rPr>
        <w:t>Rogof</w:t>
      </w:r>
      <w:bookmarkEnd w:id="8"/>
      <w:proofErr w:type="spellEnd"/>
      <w:r w:rsidRPr="001D33C8">
        <w:rPr>
          <w:rFonts w:ascii="Times New Roman" w:hAnsi="Times New Roman"/>
          <w:lang w:val="en-GB"/>
        </w:rPr>
        <w:t xml:space="preserve">, </w:t>
      </w:r>
      <w:r w:rsidRPr="001D33C8">
        <w:rPr>
          <w:rFonts w:ascii="Times New Roman" w:hAnsi="Times New Roman"/>
          <w:i/>
          <w:lang w:val="en-GB"/>
        </w:rPr>
        <w:t>Exchange Arrangements Entering the 21</w:t>
      </w:r>
      <w:r w:rsidR="00C22659" w:rsidRPr="001D33C8">
        <w:rPr>
          <w:rFonts w:ascii="Times New Roman" w:hAnsi="Times New Roman"/>
          <w:i/>
          <w:vertAlign w:val="superscript"/>
          <w:lang w:val="en-GB"/>
        </w:rPr>
        <w:t>st</w:t>
      </w:r>
      <w:r w:rsidRPr="001D33C8">
        <w:rPr>
          <w:rFonts w:ascii="Times New Roman" w:hAnsi="Times New Roman"/>
          <w:i/>
          <w:lang w:val="en-GB"/>
        </w:rPr>
        <w:t>Century: Which Anchor</w:t>
      </w:r>
    </w:p>
    <w:p w14:paraId="5F05E9A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i/>
          <w:lang w:val="en-GB"/>
        </w:rPr>
        <w:t>Will Hold?</w:t>
      </w:r>
      <w:r w:rsidRPr="001D33C8">
        <w:rPr>
          <w:rFonts w:ascii="Times New Roman" w:hAnsi="Times New Roman"/>
          <w:lang w:val="en-GB"/>
        </w:rPr>
        <w:t xml:space="preserve"> NBER February 2017.</w:t>
      </w:r>
    </w:p>
    <w:p w14:paraId="00E1E3CF" w14:textId="77777777" w:rsidR="00DB30E4" w:rsidRPr="001D33C8" w:rsidRDefault="00DB30E4" w:rsidP="00DB30E4">
      <w:pPr>
        <w:pStyle w:val="Testo1"/>
        <w:spacing w:line="240" w:lineRule="auto"/>
        <w:rPr>
          <w:rFonts w:ascii="Times New Roman" w:hAnsi="Times New Roman"/>
          <w:lang w:val="en-GB"/>
        </w:rPr>
      </w:pPr>
      <w:proofErr w:type="spellStart"/>
      <w:r w:rsidRPr="001D33C8">
        <w:rPr>
          <w:rFonts w:ascii="Times New Roman" w:hAnsi="Times New Roman"/>
          <w:smallCaps/>
          <w:kern w:val="16"/>
          <w:sz w:val="16"/>
          <w:lang w:val="en-GB"/>
        </w:rPr>
        <w:t>Ilzetzki</w:t>
      </w:r>
      <w:proofErr w:type="spellEnd"/>
      <w:r w:rsidRPr="001D33C8">
        <w:rPr>
          <w:rFonts w:ascii="Times New Roman" w:hAnsi="Times New Roman"/>
          <w:smallCaps/>
          <w:kern w:val="16"/>
          <w:sz w:val="16"/>
          <w:lang w:val="en-GB"/>
        </w:rPr>
        <w:t>-Reinhart-</w:t>
      </w:r>
      <w:proofErr w:type="spellStart"/>
      <w:r w:rsidRPr="001D33C8">
        <w:rPr>
          <w:rFonts w:ascii="Times New Roman" w:hAnsi="Times New Roman"/>
          <w:smallCaps/>
          <w:kern w:val="16"/>
          <w:sz w:val="16"/>
          <w:lang w:val="en-GB"/>
        </w:rPr>
        <w:t>Rogof</w:t>
      </w:r>
      <w:proofErr w:type="spellEnd"/>
      <w:r w:rsidR="002171CB" w:rsidRPr="001D33C8">
        <w:rPr>
          <w:rFonts w:ascii="Times New Roman" w:hAnsi="Times New Roman"/>
          <w:lang w:val="en-GB"/>
        </w:rPr>
        <w:t>,</w:t>
      </w:r>
      <w:r w:rsidRPr="001D33C8">
        <w:rPr>
          <w:rFonts w:ascii="Times New Roman" w:hAnsi="Times New Roman"/>
          <w:lang w:val="en-GB"/>
        </w:rPr>
        <w:t xml:space="preserve"> </w:t>
      </w:r>
      <w:r w:rsidRPr="001D33C8">
        <w:rPr>
          <w:rFonts w:ascii="Times New Roman" w:hAnsi="Times New Roman"/>
          <w:i/>
          <w:lang w:val="en-GB"/>
        </w:rPr>
        <w:t xml:space="preserve">Will the Secular Decline in Exchange Rate and Inflation Volatility Survive COVID-19? </w:t>
      </w:r>
      <w:proofErr w:type="spellStart"/>
      <w:r w:rsidRPr="001D33C8">
        <w:rPr>
          <w:rFonts w:ascii="Times New Roman" w:hAnsi="Times New Roman"/>
          <w:i/>
          <w:lang w:val="en-GB"/>
        </w:rPr>
        <w:t>Brokooing</w:t>
      </w:r>
      <w:proofErr w:type="spellEnd"/>
      <w:r w:rsidRPr="001D33C8">
        <w:rPr>
          <w:rFonts w:ascii="Times New Roman" w:hAnsi="Times New Roman"/>
          <w:i/>
          <w:lang w:val="en-GB"/>
        </w:rPr>
        <w:t xml:space="preserve"> Paper BPEA Conference Draft</w:t>
      </w:r>
      <w:r w:rsidRPr="001D33C8">
        <w:rPr>
          <w:rFonts w:ascii="Times New Roman" w:hAnsi="Times New Roman"/>
          <w:lang w:val="en-GB"/>
        </w:rPr>
        <w:t>s, September 24, 2020.</w:t>
      </w:r>
    </w:p>
    <w:p w14:paraId="74ED2B1A" w14:textId="77777777" w:rsidR="00DB30E4" w:rsidRPr="001D33C8" w:rsidRDefault="00DB30E4" w:rsidP="00DB30E4">
      <w:pPr>
        <w:pStyle w:val="Testo1"/>
        <w:spacing w:line="240" w:lineRule="auto"/>
        <w:rPr>
          <w:rFonts w:ascii="Times New Roman" w:hAnsi="Times New Roman"/>
          <w:lang w:val="en-GB"/>
        </w:rPr>
      </w:pPr>
      <w:proofErr w:type="spellStart"/>
      <w:r w:rsidRPr="001D33C8">
        <w:rPr>
          <w:rFonts w:ascii="Times New Roman" w:hAnsi="Times New Roman"/>
          <w:smallCaps/>
          <w:kern w:val="16"/>
          <w:sz w:val="16"/>
          <w:lang w:val="en-GB"/>
        </w:rPr>
        <w:t>Alesina-Tabellini-T</w:t>
      </w:r>
      <w:r w:rsidR="00FB0288" w:rsidRPr="001D33C8">
        <w:rPr>
          <w:rFonts w:ascii="Times New Roman" w:hAnsi="Times New Roman"/>
          <w:smallCaps/>
          <w:kern w:val="16"/>
          <w:sz w:val="16"/>
          <w:lang w:val="en-GB"/>
        </w:rPr>
        <w:t>rebbi</w:t>
      </w:r>
      <w:proofErr w:type="spellEnd"/>
      <w:r w:rsidR="00FB0288" w:rsidRPr="001D33C8">
        <w:rPr>
          <w:rFonts w:ascii="Times New Roman" w:hAnsi="Times New Roman"/>
          <w:lang w:val="en-GB"/>
        </w:rPr>
        <w:t xml:space="preserve">, </w:t>
      </w:r>
      <w:r w:rsidR="00FB0288" w:rsidRPr="001D33C8">
        <w:rPr>
          <w:rFonts w:ascii="Times New Roman" w:hAnsi="Times New Roman"/>
          <w:i/>
          <w:lang w:val="en-GB"/>
        </w:rPr>
        <w:t>Is Europe an optimal polit</w:t>
      </w:r>
      <w:r w:rsidRPr="001D33C8">
        <w:rPr>
          <w:rFonts w:ascii="Times New Roman" w:hAnsi="Times New Roman"/>
          <w:i/>
          <w:lang w:val="en-GB"/>
        </w:rPr>
        <w:t>ical area? Brookings Papers</w:t>
      </w:r>
      <w:r w:rsidRPr="001D33C8">
        <w:rPr>
          <w:rFonts w:ascii="Times New Roman" w:hAnsi="Times New Roman"/>
          <w:lang w:val="en-GB"/>
        </w:rPr>
        <w:t>, March 2017</w:t>
      </w:r>
    </w:p>
    <w:p w14:paraId="499B7969" w14:textId="77777777" w:rsidR="00DB30E4" w:rsidRPr="001D33C8" w:rsidRDefault="00DB30E4" w:rsidP="00DB30E4">
      <w:pPr>
        <w:pStyle w:val="Testo1"/>
        <w:spacing w:line="240" w:lineRule="auto"/>
        <w:rPr>
          <w:rFonts w:ascii="Times New Roman" w:hAnsi="Times New Roman"/>
          <w:lang w:val="en-GB"/>
        </w:rPr>
      </w:pPr>
      <w:r w:rsidRPr="001D33C8">
        <w:rPr>
          <w:rFonts w:ascii="Times New Roman" w:hAnsi="Times New Roman"/>
          <w:smallCaps/>
          <w:kern w:val="16"/>
          <w:sz w:val="16"/>
          <w:lang w:val="en-GB"/>
        </w:rPr>
        <w:t xml:space="preserve">M. </w:t>
      </w:r>
      <w:proofErr w:type="spellStart"/>
      <w:r w:rsidRPr="001D33C8">
        <w:rPr>
          <w:rFonts w:ascii="Times New Roman" w:hAnsi="Times New Roman"/>
          <w:smallCaps/>
          <w:kern w:val="16"/>
          <w:sz w:val="16"/>
          <w:lang w:val="en-GB"/>
        </w:rPr>
        <w:t>Brunnermeier</w:t>
      </w:r>
      <w:proofErr w:type="spellEnd"/>
      <w:r w:rsidRPr="001D33C8">
        <w:rPr>
          <w:rFonts w:ascii="Times New Roman" w:hAnsi="Times New Roman"/>
          <w:smallCaps/>
          <w:kern w:val="16"/>
          <w:sz w:val="16"/>
          <w:lang w:val="en-GB"/>
        </w:rPr>
        <w:t>-R. Reis</w:t>
      </w:r>
      <w:r w:rsidRPr="001D33C8">
        <w:rPr>
          <w:rFonts w:ascii="Times New Roman" w:hAnsi="Times New Roman"/>
          <w:lang w:val="en-GB"/>
        </w:rPr>
        <w:t xml:space="preserve">, </w:t>
      </w:r>
      <w:r w:rsidRPr="001D33C8">
        <w:rPr>
          <w:rFonts w:ascii="Times New Roman" w:hAnsi="Times New Roman"/>
          <w:i/>
          <w:lang w:val="en-GB"/>
        </w:rPr>
        <w:t>A crash course on the euro crisis</w:t>
      </w:r>
      <w:r w:rsidRPr="001D33C8">
        <w:rPr>
          <w:rFonts w:ascii="Times New Roman" w:hAnsi="Times New Roman"/>
          <w:lang w:val="en-GB"/>
        </w:rPr>
        <w:t>, August 2019</w:t>
      </w:r>
      <w:r w:rsidR="002171CB" w:rsidRPr="001D33C8">
        <w:rPr>
          <w:rFonts w:ascii="Times New Roman" w:hAnsi="Times New Roman"/>
          <w:lang w:val="en-GB"/>
        </w:rPr>
        <w:t>.</w:t>
      </w:r>
    </w:p>
    <w:p w14:paraId="6C8D84FD" w14:textId="77777777" w:rsidR="00DB30E4" w:rsidRPr="001D33C8" w:rsidRDefault="00DB30E4" w:rsidP="00DB30E4">
      <w:pPr>
        <w:pStyle w:val="Testo1"/>
        <w:spacing w:line="240" w:lineRule="auto"/>
        <w:rPr>
          <w:rFonts w:ascii="Times New Roman" w:hAnsi="Times New Roman"/>
        </w:rPr>
      </w:pPr>
      <w:r w:rsidRPr="001D33C8">
        <w:rPr>
          <w:rFonts w:ascii="Times New Roman" w:hAnsi="Times New Roman"/>
          <w:smallCaps/>
          <w:kern w:val="16"/>
          <w:sz w:val="16"/>
        </w:rPr>
        <w:lastRenderedPageBreak/>
        <w:t>R. Hamaui-M. Mauri</w:t>
      </w:r>
      <w:r w:rsidRPr="001D33C8">
        <w:rPr>
          <w:rFonts w:ascii="Times New Roman" w:hAnsi="Times New Roman"/>
        </w:rPr>
        <w:t xml:space="preserve">, </w:t>
      </w:r>
      <w:r w:rsidRPr="001D33C8">
        <w:rPr>
          <w:rFonts w:ascii="Times New Roman" w:hAnsi="Times New Roman"/>
          <w:i/>
        </w:rPr>
        <w:t>Economia e Finanza Islamica</w:t>
      </w:r>
      <w:r w:rsidRPr="001D33C8">
        <w:rPr>
          <w:rFonts w:ascii="Times New Roman" w:hAnsi="Times New Roman"/>
        </w:rPr>
        <w:t>, Il Mulino, 2009.</w:t>
      </w:r>
    </w:p>
    <w:p w14:paraId="34455022" w14:textId="77777777" w:rsidR="00714DA6" w:rsidRDefault="00714DA6" w:rsidP="00DB30E4">
      <w:pPr>
        <w:pStyle w:val="Testo1"/>
        <w:spacing w:line="240" w:lineRule="auto"/>
        <w:rPr>
          <w:rFonts w:ascii="Times New Roman" w:hAnsi="Times New Roman"/>
          <w:smallCaps/>
          <w:kern w:val="16"/>
          <w:sz w:val="16"/>
        </w:rPr>
      </w:pPr>
    </w:p>
    <w:p w14:paraId="6243FD3C" w14:textId="621FF441"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Suggested readings</w:t>
      </w:r>
    </w:p>
    <w:p w14:paraId="6556D40A" w14:textId="77777777" w:rsidR="00DB30E4" w:rsidRPr="001D33C8" w:rsidRDefault="00C22659" w:rsidP="00DB30E4">
      <w:pPr>
        <w:pStyle w:val="Testo1"/>
        <w:spacing w:line="240" w:lineRule="auto"/>
        <w:rPr>
          <w:rFonts w:ascii="Times New Roman" w:hAnsi="Times New Roman"/>
          <w:lang w:val="en-GB"/>
        </w:rPr>
      </w:pPr>
      <w:r w:rsidRPr="001D33C8">
        <w:rPr>
          <w:rFonts w:ascii="Times New Roman" w:hAnsi="Times New Roman"/>
          <w:lang w:val="en-GB"/>
        </w:rPr>
        <w:t>Further reading list suggestions will be provided by the lecturers during the course</w:t>
      </w:r>
      <w:r w:rsidR="00DB30E4" w:rsidRPr="001D33C8">
        <w:rPr>
          <w:rFonts w:ascii="Times New Roman" w:hAnsi="Times New Roman"/>
          <w:lang w:val="en-GB"/>
        </w:rPr>
        <w:t>.</w:t>
      </w:r>
    </w:p>
    <w:p w14:paraId="4F117D64" w14:textId="77777777" w:rsidR="00252F07" w:rsidRPr="001D33C8" w:rsidRDefault="006C68A0">
      <w:pPr>
        <w:spacing w:before="240" w:after="120"/>
        <w:rPr>
          <w:lang w:val="en-GB"/>
        </w:rPr>
      </w:pPr>
      <w:r w:rsidRPr="001D33C8">
        <w:rPr>
          <w:b/>
          <w:i/>
          <w:sz w:val="18"/>
          <w:lang w:val="en-GB"/>
        </w:rPr>
        <w:t>TEACHING METHOD</w:t>
      </w:r>
    </w:p>
    <w:p w14:paraId="6D044589" w14:textId="77777777" w:rsidR="00252F07" w:rsidRPr="001D33C8" w:rsidRDefault="006C68A0">
      <w:pPr>
        <w:pStyle w:val="Testo2"/>
        <w:rPr>
          <w:lang w:val="en-GB"/>
        </w:rPr>
      </w:pPr>
      <w:r w:rsidRPr="001D33C8">
        <w:rPr>
          <w:lang w:val="en-GB"/>
        </w:rPr>
        <w:t>The course, which is offered in two modules consisting of traditional lectures, is supplemented by certain assignments to train the student in analysing exchange rates and arbitrage and portfolio strategies. These assignments will be considered in the final grade.</w:t>
      </w:r>
    </w:p>
    <w:p w14:paraId="57EC7B4D" w14:textId="77777777" w:rsidR="00252F07" w:rsidRPr="001D33C8" w:rsidRDefault="006C68A0">
      <w:pPr>
        <w:pStyle w:val="Testo2"/>
        <w:rPr>
          <w:b/>
          <w:i/>
          <w:lang w:val="en-GB"/>
        </w:rPr>
      </w:pPr>
      <w:r w:rsidRPr="001D33C8">
        <w:rPr>
          <w:lang w:val="en-GB"/>
        </w:rPr>
        <w:t>The course also envisions some discussion and monitoring of the performance of the financial markets so as to provide the students with tools for interpreting key macroeconomic indicators and the main correlations that influence the trends of the international financial markets.</w:t>
      </w:r>
    </w:p>
    <w:p w14:paraId="26430D6B" w14:textId="77777777" w:rsidR="00BB0CB9" w:rsidRPr="001D33C8" w:rsidRDefault="00BB0CB9" w:rsidP="00BB0CB9">
      <w:pPr>
        <w:spacing w:before="240" w:after="120" w:line="220" w:lineRule="exact"/>
        <w:rPr>
          <w:b/>
          <w:i/>
          <w:sz w:val="18"/>
          <w:lang w:val="en-GB"/>
        </w:rPr>
      </w:pPr>
      <w:r w:rsidRPr="001D33C8">
        <w:rPr>
          <w:b/>
          <w:i/>
          <w:sz w:val="18"/>
          <w:lang w:val="en-GB"/>
        </w:rPr>
        <w:t>ASSESSMENT METHOD AND CRITERIA</w:t>
      </w:r>
    </w:p>
    <w:p w14:paraId="7566908B" w14:textId="77777777" w:rsidR="00252F07" w:rsidRPr="001D33C8" w:rsidRDefault="006C68A0">
      <w:pPr>
        <w:pStyle w:val="Testo2"/>
        <w:rPr>
          <w:lang w:val="en-GB"/>
        </w:rPr>
      </w:pPr>
      <w:r w:rsidRPr="001D33C8">
        <w:rPr>
          <w:lang w:val="en-GB"/>
        </w:rPr>
        <w:t xml:space="preserve">At the end of the course there will be a final two-hour written examination on both modules of the course which will have to be taken </w:t>
      </w:r>
      <w:r w:rsidRPr="001D33C8">
        <w:rPr>
          <w:bCs/>
          <w:i/>
          <w:lang w:val="en-GB"/>
        </w:rPr>
        <w:t>on</w:t>
      </w:r>
      <w:r w:rsidRPr="001D33C8">
        <w:rPr>
          <w:i/>
          <w:lang w:val="en-GB"/>
        </w:rPr>
        <w:t xml:space="preserve"> the same examination date ('</w:t>
      </w:r>
      <w:proofErr w:type="spellStart"/>
      <w:r w:rsidRPr="001D33C8">
        <w:rPr>
          <w:i/>
          <w:lang w:val="en-GB"/>
        </w:rPr>
        <w:t>appello</w:t>
      </w:r>
      <w:proofErr w:type="spellEnd"/>
      <w:r w:rsidRPr="001D33C8">
        <w:rPr>
          <w:i/>
          <w:lang w:val="en-GB"/>
        </w:rPr>
        <w:t>').</w:t>
      </w:r>
      <w:r w:rsidRPr="001D33C8">
        <w:rPr>
          <w:lang w:val="en-GB"/>
        </w:rPr>
        <w:t xml:space="preserve"> The exam aims to verify both students’ theoretical preparation and their practical skills (through quantitative exercises) concerning the topics examined in class. The first module carries a weight of 4/7; the second one carries a weight of 3/7. The exam is passed if the overall average is equal to or above 18/30, and if each module scores 16/30 at the least.</w:t>
      </w:r>
    </w:p>
    <w:p w14:paraId="7AC41A0E" w14:textId="77777777" w:rsidR="00BB0CB9" w:rsidRPr="001D33C8" w:rsidRDefault="00D4367A" w:rsidP="00BB0CB9">
      <w:pPr>
        <w:suppressAutoHyphens w:val="0"/>
        <w:spacing w:line="220" w:lineRule="exact"/>
        <w:ind w:firstLine="284"/>
        <w:rPr>
          <w:kern w:val="0"/>
          <w:sz w:val="18"/>
          <w:lang w:val="en-GB" w:eastAsia="it-IT"/>
        </w:rPr>
      </w:pPr>
      <w:r w:rsidRPr="001D33C8">
        <w:rPr>
          <w:kern w:val="0"/>
          <w:sz w:val="18"/>
          <w:lang w:val="en-GB" w:eastAsia="it-IT"/>
        </w:rPr>
        <w:t xml:space="preserve">The </w:t>
      </w:r>
      <w:r w:rsidR="003446F5" w:rsidRPr="001D33C8">
        <w:rPr>
          <w:kern w:val="0"/>
          <w:sz w:val="18"/>
          <w:lang w:val="en-GB" w:eastAsia="it-IT"/>
        </w:rPr>
        <w:t xml:space="preserve">assessment will be based on the </w:t>
      </w:r>
      <w:r w:rsidRPr="001D33C8">
        <w:rPr>
          <w:kern w:val="0"/>
          <w:sz w:val="18"/>
          <w:lang w:val="en-GB" w:eastAsia="it-IT"/>
        </w:rPr>
        <w:t xml:space="preserve">relevance of the </w:t>
      </w:r>
      <w:r w:rsidR="003446F5" w:rsidRPr="001D33C8">
        <w:rPr>
          <w:kern w:val="0"/>
          <w:sz w:val="18"/>
          <w:lang w:val="en-GB" w:eastAsia="it-IT"/>
        </w:rPr>
        <w:t>students’ answers</w:t>
      </w:r>
      <w:r w:rsidRPr="001D33C8">
        <w:rPr>
          <w:kern w:val="0"/>
          <w:sz w:val="18"/>
          <w:lang w:val="en-GB" w:eastAsia="it-IT"/>
        </w:rPr>
        <w:t>, the</w:t>
      </w:r>
      <w:r w:rsidR="003446F5" w:rsidRPr="001D33C8">
        <w:rPr>
          <w:kern w:val="0"/>
          <w:sz w:val="18"/>
          <w:lang w:val="en-GB" w:eastAsia="it-IT"/>
        </w:rPr>
        <w:t>ir</w:t>
      </w:r>
      <w:r w:rsidRPr="001D33C8">
        <w:rPr>
          <w:kern w:val="0"/>
          <w:sz w:val="18"/>
          <w:lang w:val="en-GB" w:eastAsia="it-IT"/>
        </w:rPr>
        <w:t xml:space="preserve"> appropriate use of scientific terminology, the </w:t>
      </w:r>
      <w:r w:rsidR="003446F5" w:rsidRPr="001D33C8">
        <w:rPr>
          <w:kern w:val="0"/>
          <w:sz w:val="18"/>
          <w:lang w:val="en-GB" w:eastAsia="it-IT"/>
        </w:rPr>
        <w:t>well-argued structuring of the discourse</w:t>
      </w:r>
      <w:r w:rsidRPr="001D33C8">
        <w:rPr>
          <w:kern w:val="0"/>
          <w:sz w:val="18"/>
          <w:lang w:val="en-GB" w:eastAsia="it-IT"/>
        </w:rPr>
        <w:t>, the ability to identify conceptual links in a concise manner and to solve</w:t>
      </w:r>
      <w:r w:rsidR="004A0162" w:rsidRPr="001D33C8">
        <w:rPr>
          <w:kern w:val="0"/>
          <w:sz w:val="18"/>
          <w:lang w:val="en-GB" w:eastAsia="it-IT"/>
        </w:rPr>
        <w:t xml:space="preserve"> analytically</w:t>
      </w:r>
      <w:r w:rsidRPr="001D33C8">
        <w:rPr>
          <w:kern w:val="0"/>
          <w:sz w:val="18"/>
          <w:lang w:val="en-GB" w:eastAsia="it-IT"/>
        </w:rPr>
        <w:t xml:space="preserve"> the problems posed</w:t>
      </w:r>
      <w:r w:rsidR="00BB0CB9" w:rsidRPr="001D33C8">
        <w:rPr>
          <w:kern w:val="0"/>
          <w:sz w:val="18"/>
          <w:lang w:val="en-GB" w:eastAsia="it-IT"/>
        </w:rPr>
        <w:t>.</w:t>
      </w:r>
    </w:p>
    <w:p w14:paraId="50288B23" w14:textId="77777777" w:rsidR="00BB0CB9" w:rsidRPr="001D33C8" w:rsidRDefault="00BB0CB9" w:rsidP="00BB0CB9">
      <w:pPr>
        <w:spacing w:before="240" w:after="120"/>
        <w:rPr>
          <w:b/>
          <w:i/>
          <w:sz w:val="18"/>
          <w:lang w:val="en-GB"/>
        </w:rPr>
      </w:pPr>
      <w:r w:rsidRPr="001D33C8">
        <w:rPr>
          <w:b/>
          <w:i/>
          <w:sz w:val="18"/>
          <w:lang w:val="en-GB"/>
        </w:rPr>
        <w:t>NOTES AND PREREQUISITES</w:t>
      </w:r>
    </w:p>
    <w:p w14:paraId="3E6EA7E3" w14:textId="77777777" w:rsidR="004A0162" w:rsidRPr="001D33C8" w:rsidRDefault="00F67989" w:rsidP="004A0162">
      <w:pPr>
        <w:suppressAutoHyphens w:val="0"/>
        <w:spacing w:line="220" w:lineRule="exact"/>
        <w:ind w:firstLine="284"/>
        <w:rPr>
          <w:kern w:val="0"/>
          <w:sz w:val="18"/>
          <w:lang w:val="en-GB" w:eastAsia="it-IT"/>
        </w:rPr>
      </w:pPr>
      <w:r w:rsidRPr="001D33C8">
        <w:rPr>
          <w:kern w:val="0"/>
          <w:sz w:val="18"/>
          <w:lang w:val="en-GB" w:eastAsia="it-IT"/>
        </w:rPr>
        <w:t>S</w:t>
      </w:r>
      <w:r w:rsidR="00E15BA4" w:rsidRPr="001D33C8">
        <w:rPr>
          <w:kern w:val="0"/>
          <w:sz w:val="18"/>
          <w:lang w:val="en-GB" w:eastAsia="it-IT"/>
        </w:rPr>
        <w:t>tudent</w:t>
      </w:r>
      <w:r w:rsidRPr="001D33C8">
        <w:rPr>
          <w:kern w:val="0"/>
          <w:sz w:val="18"/>
          <w:lang w:val="en-GB" w:eastAsia="it-IT"/>
        </w:rPr>
        <w:t>s</w:t>
      </w:r>
      <w:r w:rsidR="00E15BA4" w:rsidRPr="001D33C8">
        <w:rPr>
          <w:kern w:val="0"/>
          <w:sz w:val="18"/>
          <w:lang w:val="en-GB" w:eastAsia="it-IT"/>
        </w:rPr>
        <w:t xml:space="preserve"> must have basic knowledge of microeconomics and macroeconomics acquired in a three-year degree, with particular reference to the following topics</w:t>
      </w:r>
      <w:r w:rsidR="004A0162" w:rsidRPr="001D33C8">
        <w:rPr>
          <w:kern w:val="0"/>
          <w:sz w:val="18"/>
          <w:lang w:val="en-GB" w:eastAsia="it-IT"/>
        </w:rPr>
        <w:t>:</w:t>
      </w:r>
    </w:p>
    <w:p w14:paraId="362B9811" w14:textId="77777777" w:rsidR="00BB0CB9" w:rsidRPr="001D33C8" w:rsidRDefault="00BB0CB9" w:rsidP="00BB0CB9">
      <w:pPr>
        <w:rPr>
          <w:sz w:val="18"/>
          <w:szCs w:val="18"/>
          <w:lang w:val="en-GB"/>
        </w:rPr>
      </w:pPr>
      <w:r w:rsidRPr="001D33C8">
        <w:rPr>
          <w:sz w:val="18"/>
          <w:szCs w:val="18"/>
          <w:lang w:val="en-GB"/>
        </w:rPr>
        <w:t>–</w:t>
      </w:r>
      <w:r w:rsidRPr="001D33C8">
        <w:rPr>
          <w:sz w:val="18"/>
          <w:szCs w:val="18"/>
          <w:lang w:val="en-GB"/>
        </w:rPr>
        <w:tab/>
        <w:t>static optimisation and consumer choice</w:t>
      </w:r>
    </w:p>
    <w:p w14:paraId="41758D88" w14:textId="77777777" w:rsidR="00BB0CB9" w:rsidRPr="001D33C8" w:rsidRDefault="00BB0CB9" w:rsidP="00BB0CB9">
      <w:pPr>
        <w:rPr>
          <w:sz w:val="18"/>
          <w:szCs w:val="18"/>
          <w:lang w:val="en-GB"/>
        </w:rPr>
      </w:pPr>
      <w:r w:rsidRPr="001D33C8">
        <w:rPr>
          <w:sz w:val="18"/>
          <w:szCs w:val="18"/>
          <w:lang w:val="en-GB"/>
        </w:rPr>
        <w:t>–</w:t>
      </w:r>
      <w:r w:rsidRPr="001D33C8">
        <w:rPr>
          <w:sz w:val="18"/>
          <w:szCs w:val="18"/>
          <w:lang w:val="en-GB"/>
        </w:rPr>
        <w:tab/>
        <w:t>macroeconomic models for the long term</w:t>
      </w:r>
    </w:p>
    <w:p w14:paraId="55C36D93" w14:textId="77777777" w:rsidR="00BB0CB9" w:rsidRPr="001D33C8" w:rsidRDefault="00BB0CB9" w:rsidP="00BB0CB9">
      <w:pPr>
        <w:ind w:left="284" w:hanging="284"/>
        <w:rPr>
          <w:sz w:val="18"/>
          <w:szCs w:val="18"/>
          <w:lang w:val="en-GB"/>
        </w:rPr>
      </w:pPr>
      <w:r w:rsidRPr="001D33C8">
        <w:rPr>
          <w:sz w:val="18"/>
          <w:szCs w:val="18"/>
          <w:lang w:val="en-GB"/>
        </w:rPr>
        <w:t>–</w:t>
      </w:r>
      <w:r w:rsidRPr="001D33C8">
        <w:rPr>
          <w:sz w:val="18"/>
          <w:szCs w:val="18"/>
          <w:lang w:val="en-GB"/>
        </w:rPr>
        <w:tab/>
        <w:t>macroeconomic models for the short term (income-expense, IS-RT, IS-RT-BP in an open economy)</w:t>
      </w:r>
    </w:p>
    <w:p w14:paraId="454F9212" w14:textId="77777777" w:rsidR="00BB0CB9" w:rsidRPr="001D33C8" w:rsidRDefault="00BB0CB9" w:rsidP="00BB0CB9">
      <w:pPr>
        <w:ind w:left="284" w:hanging="284"/>
        <w:rPr>
          <w:sz w:val="18"/>
          <w:szCs w:val="18"/>
          <w:lang w:val="en-GB"/>
        </w:rPr>
      </w:pPr>
      <w:r w:rsidRPr="001D33C8">
        <w:rPr>
          <w:sz w:val="18"/>
          <w:szCs w:val="18"/>
          <w:lang w:val="en-GB"/>
        </w:rPr>
        <w:t>–</w:t>
      </w:r>
      <w:r w:rsidRPr="001D33C8">
        <w:rPr>
          <w:sz w:val="18"/>
          <w:szCs w:val="18"/>
          <w:lang w:val="en-GB"/>
        </w:rPr>
        <w:tab/>
        <w:t>macroeconomic models for the medium term (Phillips curve boosted for expectations, AD-AS model with dynamic AS).</w:t>
      </w:r>
    </w:p>
    <w:p w14:paraId="18A38513" w14:textId="77777777" w:rsidR="00BB0CB9" w:rsidRPr="001D33C8" w:rsidRDefault="00BB0CB9" w:rsidP="00BB0CB9">
      <w:pPr>
        <w:rPr>
          <w:sz w:val="18"/>
          <w:szCs w:val="18"/>
          <w:lang w:val="en-GB"/>
        </w:rPr>
      </w:pPr>
      <w:r w:rsidRPr="001D33C8">
        <w:rPr>
          <w:sz w:val="18"/>
          <w:szCs w:val="18"/>
          <w:lang w:val="en-GB"/>
        </w:rPr>
        <w:t>Whoever is not familiar with this subject matter should study it before starting the course.</w:t>
      </w:r>
    </w:p>
    <w:p w14:paraId="5434D6C9" w14:textId="77777777" w:rsidR="00BB0CB9" w:rsidRPr="001D33C8" w:rsidRDefault="00BB0CB9" w:rsidP="00BB0CB9">
      <w:pPr>
        <w:spacing w:before="120"/>
        <w:rPr>
          <w:rFonts w:ascii="Times New Roman" w:hAnsi="Times New Roman"/>
          <w:sz w:val="18"/>
          <w:szCs w:val="18"/>
        </w:rPr>
      </w:pPr>
      <w:r w:rsidRPr="001D33C8">
        <w:rPr>
          <w:sz w:val="18"/>
          <w:szCs w:val="18"/>
          <w:lang w:val="en-GB"/>
        </w:rPr>
        <w:t xml:space="preserve">Useful references </w:t>
      </w:r>
      <w:proofErr w:type="spellStart"/>
      <w:proofErr w:type="gramStart"/>
      <w:r w:rsidRPr="001D33C8">
        <w:rPr>
          <w:sz w:val="18"/>
          <w:szCs w:val="18"/>
          <w:lang w:val="en-GB"/>
        </w:rPr>
        <w:t>are:</w:t>
      </w:r>
      <w:r w:rsidRPr="001D33C8">
        <w:rPr>
          <w:smallCaps/>
          <w:spacing w:val="-5"/>
          <w:sz w:val="16"/>
          <w:lang w:val="en-GB"/>
        </w:rPr>
        <w:t>K</w:t>
      </w:r>
      <w:proofErr w:type="spellEnd"/>
      <w:r w:rsidRPr="001D33C8">
        <w:rPr>
          <w:smallCaps/>
          <w:spacing w:val="-5"/>
          <w:sz w:val="16"/>
          <w:lang w:val="en-GB"/>
        </w:rPr>
        <w:t>.</w:t>
      </w:r>
      <w:proofErr w:type="gramEnd"/>
      <w:r w:rsidRPr="001D33C8">
        <w:rPr>
          <w:smallCaps/>
          <w:spacing w:val="-5"/>
          <w:sz w:val="16"/>
          <w:lang w:val="en-GB"/>
        </w:rPr>
        <w:t xml:space="preserve"> </w:t>
      </w:r>
      <w:proofErr w:type="spellStart"/>
      <w:r w:rsidRPr="001D33C8">
        <w:rPr>
          <w:smallCaps/>
          <w:spacing w:val="-5"/>
          <w:sz w:val="16"/>
          <w:lang w:val="en-GB"/>
        </w:rPr>
        <w:t>Sydsǽter</w:t>
      </w:r>
      <w:proofErr w:type="spellEnd"/>
      <w:r w:rsidRPr="001D33C8">
        <w:rPr>
          <w:smallCaps/>
          <w:spacing w:val="-5"/>
          <w:sz w:val="16"/>
          <w:lang w:val="en-GB"/>
        </w:rPr>
        <w:t xml:space="preserve">-P. </w:t>
      </w:r>
      <w:proofErr w:type="spellStart"/>
      <w:r w:rsidRPr="001D33C8">
        <w:rPr>
          <w:smallCaps/>
          <w:spacing w:val="-5"/>
          <w:sz w:val="16"/>
        </w:rPr>
        <w:t>Hammond,</w:t>
      </w:r>
      <w:r w:rsidRPr="001D33C8">
        <w:rPr>
          <w:i/>
          <w:iCs/>
          <w:spacing w:val="-5"/>
          <w:sz w:val="18"/>
          <w:szCs w:val="18"/>
        </w:rPr>
        <w:t>Manuale</w:t>
      </w:r>
      <w:proofErr w:type="spellEnd"/>
      <w:r w:rsidRPr="001D33C8">
        <w:rPr>
          <w:i/>
          <w:iCs/>
          <w:spacing w:val="-5"/>
          <w:sz w:val="18"/>
          <w:szCs w:val="18"/>
        </w:rPr>
        <w:t xml:space="preserve"> di matematica per l'analisi economica</w:t>
      </w:r>
      <w:r w:rsidR="004A0162" w:rsidRPr="001D33C8">
        <w:rPr>
          <w:i/>
          <w:iCs/>
          <w:spacing w:val="-5"/>
          <w:sz w:val="18"/>
          <w:szCs w:val="18"/>
        </w:rPr>
        <w:t xml:space="preserve"> e </w:t>
      </w:r>
      <w:proofErr w:type="spellStart"/>
      <w:r w:rsidR="004A0162" w:rsidRPr="001D33C8">
        <w:rPr>
          <w:i/>
          <w:iCs/>
          <w:spacing w:val="-5"/>
          <w:sz w:val="18"/>
          <w:szCs w:val="18"/>
        </w:rPr>
        <w:t>finanziaria</w:t>
      </w:r>
      <w:r w:rsidRPr="001D33C8">
        <w:rPr>
          <w:i/>
          <w:spacing w:val="-5"/>
          <w:sz w:val="18"/>
          <w:szCs w:val="18"/>
        </w:rPr>
        <w:t>,</w:t>
      </w:r>
      <w:r w:rsidR="004A0162" w:rsidRPr="001D33C8">
        <w:rPr>
          <w:spacing w:val="-5"/>
          <w:sz w:val="18"/>
          <w:szCs w:val="18"/>
        </w:rPr>
        <w:t>Pearson</w:t>
      </w:r>
      <w:proofErr w:type="spellEnd"/>
      <w:r w:rsidR="004A0162" w:rsidRPr="001D33C8">
        <w:rPr>
          <w:spacing w:val="-5"/>
          <w:sz w:val="18"/>
          <w:szCs w:val="18"/>
        </w:rPr>
        <w:t xml:space="preserve">, 2015, </w:t>
      </w:r>
      <w:proofErr w:type="spellStart"/>
      <w:r w:rsidR="004A0162" w:rsidRPr="001D33C8">
        <w:rPr>
          <w:spacing w:val="-5"/>
          <w:sz w:val="18"/>
          <w:szCs w:val="18"/>
        </w:rPr>
        <w:t>Chapters</w:t>
      </w:r>
      <w:proofErr w:type="spellEnd"/>
      <w:r w:rsidR="004A0162" w:rsidRPr="001D33C8">
        <w:rPr>
          <w:spacing w:val="-5"/>
          <w:sz w:val="18"/>
          <w:szCs w:val="18"/>
        </w:rPr>
        <w:t xml:space="preserve"> 8-11</w:t>
      </w:r>
      <w:r w:rsidRPr="001D33C8">
        <w:rPr>
          <w:spacing w:val="-5"/>
          <w:sz w:val="18"/>
          <w:szCs w:val="18"/>
        </w:rPr>
        <w:t>;</w:t>
      </w:r>
      <w:r w:rsidRPr="001D33C8">
        <w:rPr>
          <w:smallCaps/>
          <w:spacing w:val="-5"/>
          <w:sz w:val="16"/>
        </w:rPr>
        <w:t xml:space="preserve">A. </w:t>
      </w:r>
      <w:proofErr w:type="spellStart"/>
      <w:r w:rsidRPr="001D33C8">
        <w:rPr>
          <w:smallCaps/>
          <w:spacing w:val="-5"/>
          <w:sz w:val="16"/>
        </w:rPr>
        <w:t>Boitani,</w:t>
      </w:r>
      <w:r w:rsidRPr="001D33C8">
        <w:rPr>
          <w:i/>
          <w:iCs/>
          <w:spacing w:val="-5"/>
          <w:sz w:val="18"/>
          <w:szCs w:val="18"/>
        </w:rPr>
        <w:t>Macroeconomia</w:t>
      </w:r>
      <w:proofErr w:type="spellEnd"/>
      <w:r w:rsidRPr="001D33C8">
        <w:rPr>
          <w:i/>
          <w:spacing w:val="-5"/>
          <w:sz w:val="18"/>
          <w:szCs w:val="18"/>
        </w:rPr>
        <w:t>,</w:t>
      </w:r>
      <w:r w:rsidRPr="001D33C8">
        <w:rPr>
          <w:spacing w:val="-5"/>
          <w:sz w:val="18"/>
          <w:szCs w:val="18"/>
        </w:rPr>
        <w:t xml:space="preserve"> Il Mulino, 2019, </w:t>
      </w:r>
      <w:proofErr w:type="spellStart"/>
      <w:r w:rsidRPr="001D33C8">
        <w:rPr>
          <w:spacing w:val="-5"/>
          <w:sz w:val="18"/>
          <w:szCs w:val="18"/>
        </w:rPr>
        <w:t>Chapters</w:t>
      </w:r>
      <w:proofErr w:type="spellEnd"/>
      <w:r w:rsidRPr="001D33C8">
        <w:rPr>
          <w:spacing w:val="-5"/>
          <w:sz w:val="18"/>
          <w:szCs w:val="18"/>
        </w:rPr>
        <w:t xml:space="preserve"> 6-14; </w:t>
      </w:r>
      <w:proofErr w:type="spellStart"/>
      <w:r w:rsidRPr="001D33C8">
        <w:rPr>
          <w:spacing w:val="-5"/>
          <w:sz w:val="18"/>
          <w:szCs w:val="18"/>
        </w:rPr>
        <w:t>o</w:t>
      </w:r>
      <w:r w:rsidRPr="001D33C8">
        <w:rPr>
          <w:sz w:val="18"/>
          <w:szCs w:val="18"/>
        </w:rPr>
        <w:t>r</w:t>
      </w:r>
      <w:r w:rsidRPr="001D33C8">
        <w:rPr>
          <w:rFonts w:ascii="Times New Roman" w:hAnsi="Times New Roman"/>
          <w:smallCaps/>
          <w:sz w:val="16"/>
          <w:szCs w:val="16"/>
        </w:rPr>
        <w:t>O</w:t>
      </w:r>
      <w:proofErr w:type="spellEnd"/>
      <w:r w:rsidRPr="001D33C8">
        <w:rPr>
          <w:rFonts w:ascii="Times New Roman" w:hAnsi="Times New Roman"/>
          <w:smallCaps/>
          <w:sz w:val="16"/>
          <w:szCs w:val="16"/>
        </w:rPr>
        <w:t xml:space="preserve">. Blanchard-A. </w:t>
      </w:r>
      <w:proofErr w:type="spellStart"/>
      <w:r w:rsidRPr="001D33C8">
        <w:rPr>
          <w:rFonts w:ascii="Times New Roman" w:hAnsi="Times New Roman"/>
          <w:smallCaps/>
          <w:sz w:val="16"/>
          <w:szCs w:val="16"/>
        </w:rPr>
        <w:t>Amighini</w:t>
      </w:r>
      <w:proofErr w:type="spellEnd"/>
      <w:r w:rsidRPr="001D33C8">
        <w:rPr>
          <w:rFonts w:ascii="Times New Roman" w:hAnsi="Times New Roman"/>
          <w:smallCaps/>
          <w:sz w:val="16"/>
          <w:szCs w:val="16"/>
        </w:rPr>
        <w:t>-F. Giavazzi</w:t>
      </w:r>
      <w:r w:rsidRPr="001D33C8">
        <w:rPr>
          <w:rFonts w:ascii="Times New Roman" w:hAnsi="Times New Roman"/>
          <w:sz w:val="18"/>
          <w:szCs w:val="18"/>
        </w:rPr>
        <w:t xml:space="preserve">, </w:t>
      </w:r>
      <w:r w:rsidRPr="001D33C8">
        <w:rPr>
          <w:rFonts w:ascii="Times New Roman" w:hAnsi="Times New Roman"/>
          <w:i/>
          <w:sz w:val="18"/>
          <w:szCs w:val="18"/>
        </w:rPr>
        <w:t>Macroeconomia</w:t>
      </w:r>
      <w:r w:rsidRPr="001D33C8">
        <w:rPr>
          <w:rFonts w:ascii="Times New Roman" w:hAnsi="Times New Roman"/>
          <w:sz w:val="18"/>
          <w:szCs w:val="18"/>
        </w:rPr>
        <w:t xml:space="preserve">, Il Mulino, 2014 </w:t>
      </w:r>
      <w:proofErr w:type="spellStart"/>
      <w:r w:rsidRPr="001D33C8">
        <w:rPr>
          <w:rFonts w:ascii="Times New Roman" w:hAnsi="Times New Roman"/>
          <w:sz w:val="18"/>
          <w:szCs w:val="18"/>
        </w:rPr>
        <w:t>chapters</w:t>
      </w:r>
      <w:proofErr w:type="spellEnd"/>
      <w:r w:rsidRPr="001D33C8">
        <w:rPr>
          <w:rFonts w:ascii="Times New Roman" w:hAnsi="Times New Roman"/>
          <w:sz w:val="18"/>
          <w:szCs w:val="18"/>
        </w:rPr>
        <w:t>. 2-</w:t>
      </w:r>
      <w:r w:rsidR="004A0162" w:rsidRPr="001D33C8">
        <w:rPr>
          <w:rFonts w:ascii="Times New Roman" w:hAnsi="Times New Roman"/>
          <w:sz w:val="18"/>
          <w:szCs w:val="18"/>
        </w:rPr>
        <w:t>9 e 17</w:t>
      </w:r>
      <w:r w:rsidRPr="001D33C8">
        <w:rPr>
          <w:rFonts w:ascii="Times New Roman" w:hAnsi="Times New Roman"/>
          <w:sz w:val="18"/>
          <w:szCs w:val="18"/>
        </w:rPr>
        <w:t>-20.</w:t>
      </w:r>
    </w:p>
    <w:p w14:paraId="22F194A8" w14:textId="77777777" w:rsidR="006C68A0" w:rsidRPr="00A21633" w:rsidRDefault="006C68A0">
      <w:pPr>
        <w:pStyle w:val="Testo2"/>
        <w:spacing w:before="120"/>
        <w:rPr>
          <w:lang w:val="en-GB"/>
        </w:rPr>
      </w:pPr>
      <w:r w:rsidRPr="001D33C8">
        <w:rPr>
          <w:lang w:val="en-GB"/>
        </w:rPr>
        <w:lastRenderedPageBreak/>
        <w:t>Further information can be found on the lecturer's webpage at http://docenti.unicatt.it/web/searchByName.do?language=ENG or on the Faculty notice board.</w:t>
      </w:r>
    </w:p>
    <w:sectPr w:rsidR="006C68A0" w:rsidRPr="00A21633" w:rsidSect="00EA2673">
      <w:pgSz w:w="11906" w:h="16838"/>
      <w:pgMar w:top="3515" w:right="2608" w:bottom="3515" w:left="2608" w:header="720" w:footer="720"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D420" w14:textId="77777777" w:rsidR="00A47538" w:rsidRDefault="00A47538" w:rsidP="00DB30E4">
      <w:pPr>
        <w:spacing w:line="240" w:lineRule="auto"/>
      </w:pPr>
      <w:r>
        <w:separator/>
      </w:r>
    </w:p>
  </w:endnote>
  <w:endnote w:type="continuationSeparator" w:id="0">
    <w:p w14:paraId="00BCBB48" w14:textId="77777777" w:rsidR="00A47538" w:rsidRDefault="00A47538" w:rsidP="00DB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C4A7" w14:textId="77777777" w:rsidR="00A47538" w:rsidRDefault="00A47538" w:rsidP="00DB30E4">
      <w:pPr>
        <w:spacing w:line="240" w:lineRule="auto"/>
      </w:pPr>
      <w:r>
        <w:separator/>
      </w:r>
    </w:p>
  </w:footnote>
  <w:footnote w:type="continuationSeparator" w:id="0">
    <w:p w14:paraId="5AA7240A" w14:textId="77777777" w:rsidR="00A47538" w:rsidRDefault="00A47538" w:rsidP="00DB30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D00770"/>
    <w:multiLevelType w:val="hybridMultilevel"/>
    <w:tmpl w:val="FF761728"/>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3F4FDC"/>
    <w:multiLevelType w:val="hybridMultilevel"/>
    <w:tmpl w:val="E8C0A7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5C6C91"/>
    <w:multiLevelType w:val="hybridMultilevel"/>
    <w:tmpl w:val="7E4C8F76"/>
    <w:lvl w:ilvl="0" w:tplc="CD224B68">
      <w:start w:val="10"/>
      <w:numFmt w:val="bullet"/>
      <w:lvlText w:val="–"/>
      <w:lvlJc w:val="left"/>
      <w:pPr>
        <w:ind w:left="720" w:hanging="360"/>
      </w:pPr>
      <w:rPr>
        <w:rFonts w:ascii="Times New Roman" w:eastAsia="Calibri"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8A698B"/>
    <w:multiLevelType w:val="hybridMultilevel"/>
    <w:tmpl w:val="75EC8150"/>
    <w:lvl w:ilvl="0" w:tplc="4796B2BC">
      <w:start w:val="10"/>
      <w:numFmt w:val="bullet"/>
      <w:lvlText w:val="–"/>
      <w:lvlJc w:val="left"/>
      <w:pPr>
        <w:ind w:left="360" w:hanging="360"/>
      </w:pPr>
      <w:rPr>
        <w:rFonts w:ascii="Times New Roman" w:eastAsia="Calibri"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03363974">
    <w:abstractNumId w:val="0"/>
  </w:num>
  <w:num w:numId="2" w16cid:durableId="1277256785">
    <w:abstractNumId w:val="2"/>
  </w:num>
  <w:num w:numId="3" w16cid:durableId="1046105195">
    <w:abstractNumId w:val="1"/>
  </w:num>
  <w:num w:numId="4" w16cid:durableId="2060544720">
    <w:abstractNumId w:val="3"/>
  </w:num>
  <w:num w:numId="5" w16cid:durableId="243612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7F"/>
    <w:rsid w:val="0002337A"/>
    <w:rsid w:val="00172E84"/>
    <w:rsid w:val="001D098C"/>
    <w:rsid w:val="001D33C8"/>
    <w:rsid w:val="001F4F6D"/>
    <w:rsid w:val="002171CB"/>
    <w:rsid w:val="00252F07"/>
    <w:rsid w:val="003446F5"/>
    <w:rsid w:val="00414896"/>
    <w:rsid w:val="004A0162"/>
    <w:rsid w:val="004B5703"/>
    <w:rsid w:val="004B73C5"/>
    <w:rsid w:val="004C5594"/>
    <w:rsid w:val="005458EB"/>
    <w:rsid w:val="00586615"/>
    <w:rsid w:val="0068042C"/>
    <w:rsid w:val="006C64E5"/>
    <w:rsid w:val="006C68A0"/>
    <w:rsid w:val="00714DA6"/>
    <w:rsid w:val="0071513A"/>
    <w:rsid w:val="007449B5"/>
    <w:rsid w:val="007929D2"/>
    <w:rsid w:val="00894E2E"/>
    <w:rsid w:val="00897A25"/>
    <w:rsid w:val="009C691A"/>
    <w:rsid w:val="00A21633"/>
    <w:rsid w:val="00A47538"/>
    <w:rsid w:val="00A850C0"/>
    <w:rsid w:val="00AD41B7"/>
    <w:rsid w:val="00BA4DBB"/>
    <w:rsid w:val="00BB0CB9"/>
    <w:rsid w:val="00C02643"/>
    <w:rsid w:val="00C22659"/>
    <w:rsid w:val="00C71B7F"/>
    <w:rsid w:val="00CD223A"/>
    <w:rsid w:val="00D2406E"/>
    <w:rsid w:val="00D4367A"/>
    <w:rsid w:val="00DB30E4"/>
    <w:rsid w:val="00DC4D92"/>
    <w:rsid w:val="00E025CC"/>
    <w:rsid w:val="00E02EA0"/>
    <w:rsid w:val="00E15BA4"/>
    <w:rsid w:val="00EA2673"/>
    <w:rsid w:val="00ED3246"/>
    <w:rsid w:val="00ED7E83"/>
    <w:rsid w:val="00F44831"/>
    <w:rsid w:val="00F67989"/>
    <w:rsid w:val="00F80DB7"/>
    <w:rsid w:val="00FB02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82F560"/>
  <w15:docId w15:val="{45CDC1E7-25A3-4428-AF14-F7268BBA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2673"/>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link w:val="Titolo1Carattere"/>
    <w:qFormat/>
    <w:rsid w:val="00EA2673"/>
    <w:pPr>
      <w:spacing w:before="480"/>
      <w:outlineLvl w:val="0"/>
    </w:pPr>
    <w:rPr>
      <w:rFonts w:ascii="Times" w:hAnsi="Times"/>
      <w:b/>
    </w:rPr>
  </w:style>
  <w:style w:type="paragraph" w:styleId="Titolo2">
    <w:name w:val="heading 2"/>
    <w:basedOn w:val="Intestazione1"/>
    <w:next w:val="Corpotesto"/>
    <w:link w:val="Titolo2Carattere"/>
    <w:qFormat/>
    <w:rsid w:val="00EA2673"/>
    <w:pPr>
      <w:outlineLvl w:val="1"/>
    </w:pPr>
    <w:rPr>
      <w:rFonts w:ascii="Times" w:hAnsi="Times"/>
      <w:smallCaps/>
      <w:sz w:val="18"/>
    </w:rPr>
  </w:style>
  <w:style w:type="paragraph" w:styleId="Titolo3">
    <w:name w:val="heading 3"/>
    <w:basedOn w:val="Intestazione1"/>
    <w:next w:val="Corpotesto"/>
    <w:qFormat/>
    <w:rsid w:val="00EA2673"/>
    <w:pPr>
      <w:numPr>
        <w:ilvl w:val="2"/>
        <w:numId w:val="1"/>
      </w:numPr>
      <w:outlineLvl w:val="2"/>
    </w:pPr>
    <w:rPr>
      <w:rFonts w:ascii="Times" w:hAnsi="Times"/>
      <w:i/>
      <w:caps/>
      <w:sz w:val="18"/>
    </w:rPr>
  </w:style>
  <w:style w:type="paragraph" w:styleId="Titolo5">
    <w:name w:val="heading 5"/>
    <w:basedOn w:val="Normale"/>
    <w:next w:val="Corpotesto"/>
    <w:qFormat/>
    <w:rsid w:val="00EA2673"/>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A2673"/>
  </w:style>
  <w:style w:type="character" w:customStyle="1" w:styleId="Titolo3Carattere">
    <w:name w:val="Titolo 3 Carattere"/>
    <w:basedOn w:val="Carpredefinitoparagrafo1"/>
    <w:rsid w:val="00EA2673"/>
    <w:rPr>
      <w:rFonts w:ascii="Times" w:hAnsi="Times"/>
      <w:i/>
      <w:caps/>
      <w:sz w:val="18"/>
    </w:rPr>
  </w:style>
  <w:style w:type="paragraph" w:customStyle="1" w:styleId="Intestazione1">
    <w:name w:val="Intestazione1"/>
    <w:basedOn w:val="Normale"/>
    <w:next w:val="Corpotesto"/>
    <w:rsid w:val="00EA2673"/>
    <w:pPr>
      <w:keepNext/>
      <w:spacing w:before="240" w:after="120"/>
    </w:pPr>
    <w:rPr>
      <w:rFonts w:ascii="Arial" w:eastAsia="Arial Unicode MS" w:hAnsi="Arial" w:cs="Arial Unicode MS"/>
      <w:sz w:val="28"/>
      <w:szCs w:val="28"/>
    </w:rPr>
  </w:style>
  <w:style w:type="paragraph" w:styleId="Corpotesto">
    <w:name w:val="Body Text"/>
    <w:basedOn w:val="Normale"/>
    <w:rsid w:val="00EA2673"/>
    <w:pPr>
      <w:tabs>
        <w:tab w:val="clear" w:pos="284"/>
      </w:tabs>
      <w:spacing w:line="100" w:lineRule="atLeast"/>
    </w:pPr>
    <w:rPr>
      <w:rFonts w:ascii="Times New Roman" w:hAnsi="Times New Roman"/>
      <w:sz w:val="24"/>
      <w:szCs w:val="24"/>
    </w:rPr>
  </w:style>
  <w:style w:type="paragraph" w:styleId="Elenco">
    <w:name w:val="List"/>
    <w:basedOn w:val="Corpotesto"/>
    <w:rsid w:val="00EA2673"/>
  </w:style>
  <w:style w:type="paragraph" w:customStyle="1" w:styleId="Didascalia1">
    <w:name w:val="Didascalia1"/>
    <w:basedOn w:val="Normale"/>
    <w:rsid w:val="00EA2673"/>
    <w:pPr>
      <w:suppressLineNumbers/>
      <w:spacing w:before="120" w:after="120"/>
    </w:pPr>
    <w:rPr>
      <w:i/>
      <w:iCs/>
      <w:sz w:val="24"/>
      <w:szCs w:val="24"/>
    </w:rPr>
  </w:style>
  <w:style w:type="paragraph" w:customStyle="1" w:styleId="Indice">
    <w:name w:val="Indice"/>
    <w:basedOn w:val="Normale"/>
    <w:rsid w:val="00EA2673"/>
    <w:pPr>
      <w:suppressLineNumbers/>
    </w:pPr>
  </w:style>
  <w:style w:type="paragraph" w:customStyle="1" w:styleId="Testo1">
    <w:name w:val="Testo 1"/>
    <w:rsid w:val="00EA2673"/>
    <w:pPr>
      <w:suppressAutoHyphens/>
      <w:spacing w:line="220" w:lineRule="exact"/>
      <w:ind w:left="284" w:hanging="284"/>
      <w:jc w:val="both"/>
    </w:pPr>
    <w:rPr>
      <w:rFonts w:ascii="Times" w:hAnsi="Times"/>
      <w:kern w:val="1"/>
      <w:sz w:val="18"/>
      <w:lang w:eastAsia="ar-SA"/>
    </w:rPr>
  </w:style>
  <w:style w:type="paragraph" w:customStyle="1" w:styleId="Testo2">
    <w:name w:val="Testo 2"/>
    <w:rsid w:val="00EA2673"/>
    <w:pPr>
      <w:suppressAutoHyphens/>
      <w:spacing w:line="220" w:lineRule="exact"/>
      <w:ind w:firstLine="284"/>
      <w:jc w:val="both"/>
    </w:pPr>
    <w:rPr>
      <w:rFonts w:ascii="Times" w:hAnsi="Times"/>
      <w:kern w:val="1"/>
      <w:sz w:val="18"/>
      <w:lang w:eastAsia="ar-SA"/>
    </w:rPr>
  </w:style>
  <w:style w:type="paragraph" w:styleId="Rientrocorpodeltesto2">
    <w:name w:val="Body Text Indent 2"/>
    <w:basedOn w:val="Normale"/>
    <w:link w:val="Rientrocorpodeltesto2Carattere"/>
    <w:uiPriority w:val="99"/>
    <w:semiHidden/>
    <w:unhideWhenUsed/>
    <w:rsid w:val="007929D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7929D2"/>
    <w:rPr>
      <w:rFonts w:ascii="Times" w:hAnsi="Times"/>
      <w:kern w:val="1"/>
      <w:lang w:eastAsia="ar-SA"/>
    </w:rPr>
  </w:style>
  <w:style w:type="paragraph" w:styleId="Titolosommario">
    <w:name w:val="TOC Heading"/>
    <w:basedOn w:val="Titolo1"/>
    <w:next w:val="Normale"/>
    <w:uiPriority w:val="39"/>
    <w:unhideWhenUsed/>
    <w:qFormat/>
    <w:rsid w:val="007929D2"/>
    <w:pPr>
      <w:keepLines/>
      <w:tabs>
        <w:tab w:val="clear" w:pos="284"/>
      </w:tabs>
      <w:suppressAutoHyphens w:val="0"/>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lang w:eastAsia="it-IT"/>
    </w:rPr>
  </w:style>
  <w:style w:type="paragraph" w:styleId="Sommario1">
    <w:name w:val="toc 1"/>
    <w:basedOn w:val="Normale"/>
    <w:next w:val="Normale"/>
    <w:autoRedefine/>
    <w:uiPriority w:val="39"/>
    <w:unhideWhenUsed/>
    <w:rsid w:val="007929D2"/>
    <w:pPr>
      <w:tabs>
        <w:tab w:val="clear" w:pos="284"/>
      </w:tabs>
      <w:spacing w:after="100"/>
    </w:pPr>
  </w:style>
  <w:style w:type="paragraph" w:styleId="Sommario2">
    <w:name w:val="toc 2"/>
    <w:basedOn w:val="Normale"/>
    <w:next w:val="Normale"/>
    <w:autoRedefine/>
    <w:uiPriority w:val="39"/>
    <w:unhideWhenUsed/>
    <w:rsid w:val="007929D2"/>
    <w:pPr>
      <w:tabs>
        <w:tab w:val="clear" w:pos="284"/>
      </w:tabs>
      <w:spacing w:after="100"/>
      <w:ind w:left="200"/>
    </w:pPr>
  </w:style>
  <w:style w:type="character" w:styleId="Collegamentoipertestuale">
    <w:name w:val="Hyperlink"/>
    <w:basedOn w:val="Carpredefinitoparagrafo"/>
    <w:uiPriority w:val="99"/>
    <w:unhideWhenUsed/>
    <w:rsid w:val="007929D2"/>
    <w:rPr>
      <w:color w:val="0000FF" w:themeColor="hyperlink"/>
      <w:u w:val="single"/>
    </w:rPr>
  </w:style>
  <w:style w:type="character" w:customStyle="1" w:styleId="Titolo1Carattere">
    <w:name w:val="Titolo 1 Carattere"/>
    <w:link w:val="Titolo1"/>
    <w:rsid w:val="00DB30E4"/>
    <w:rPr>
      <w:rFonts w:ascii="Times" w:eastAsia="Arial Unicode MS" w:hAnsi="Times" w:cs="Arial Unicode MS"/>
      <w:b/>
      <w:kern w:val="1"/>
      <w:sz w:val="28"/>
      <w:szCs w:val="28"/>
      <w:lang w:eastAsia="ar-SA"/>
    </w:rPr>
  </w:style>
  <w:style w:type="character" w:customStyle="1" w:styleId="Titolo2Carattere">
    <w:name w:val="Titolo 2 Carattere"/>
    <w:link w:val="Titolo2"/>
    <w:rsid w:val="00DB30E4"/>
    <w:rPr>
      <w:rFonts w:ascii="Times" w:eastAsia="Arial Unicode MS" w:hAnsi="Times" w:cs="Arial Unicode MS"/>
      <w:smallCaps/>
      <w:kern w:val="1"/>
      <w:sz w:val="18"/>
      <w:szCs w:val="28"/>
      <w:lang w:eastAsia="ar-SA"/>
    </w:rPr>
  </w:style>
  <w:style w:type="paragraph" w:styleId="Paragrafoelenco">
    <w:name w:val="List Paragraph"/>
    <w:basedOn w:val="Normale"/>
    <w:uiPriority w:val="34"/>
    <w:qFormat/>
    <w:rsid w:val="00DB30E4"/>
    <w:pPr>
      <w:tabs>
        <w:tab w:val="clear" w:pos="284"/>
      </w:tabs>
      <w:suppressAutoHyphens w:val="0"/>
      <w:spacing w:line="240" w:lineRule="auto"/>
      <w:ind w:left="720"/>
      <w:contextualSpacing/>
      <w:jc w:val="left"/>
    </w:pPr>
    <w:rPr>
      <w:rFonts w:ascii="Times New Roman" w:hAnsi="Times New Roman"/>
      <w:kern w:val="0"/>
      <w:sz w:val="24"/>
      <w:szCs w:val="24"/>
      <w:lang w:eastAsia="it-IT"/>
    </w:rPr>
  </w:style>
  <w:style w:type="paragraph" w:styleId="Testofumetto">
    <w:name w:val="Balloon Text"/>
    <w:basedOn w:val="Normale"/>
    <w:link w:val="TestofumettoCarattere"/>
    <w:uiPriority w:val="99"/>
    <w:semiHidden/>
    <w:unhideWhenUsed/>
    <w:rsid w:val="00DB30E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30E4"/>
    <w:rPr>
      <w:rFonts w:ascii="Segoe UI" w:hAnsi="Segoe UI" w:cs="Segoe UI"/>
      <w:kern w:val="1"/>
      <w:sz w:val="18"/>
      <w:szCs w:val="18"/>
      <w:lang w:eastAsia="ar-SA"/>
    </w:rPr>
  </w:style>
  <w:style w:type="paragraph" w:styleId="Testonotaapidipagina">
    <w:name w:val="footnote text"/>
    <w:basedOn w:val="Normale"/>
    <w:link w:val="TestonotaapidipaginaCarattere"/>
    <w:semiHidden/>
    <w:unhideWhenUsed/>
    <w:rsid w:val="00DB30E4"/>
    <w:pPr>
      <w:suppressAutoHyphens w:val="0"/>
      <w:spacing w:line="240" w:lineRule="auto"/>
    </w:pPr>
    <w:rPr>
      <w:rFonts w:ascii="Times New Roman" w:hAnsi="Times New Roman"/>
      <w:kern w:val="0"/>
      <w:lang w:eastAsia="it-IT"/>
    </w:rPr>
  </w:style>
  <w:style w:type="character" w:customStyle="1" w:styleId="TestonotaapidipaginaCarattere">
    <w:name w:val="Testo nota a piè di pagina Carattere"/>
    <w:basedOn w:val="Carpredefinitoparagrafo"/>
    <w:link w:val="Testonotaapidipagina"/>
    <w:semiHidden/>
    <w:rsid w:val="00DB30E4"/>
  </w:style>
  <w:style w:type="character" w:styleId="Rimandonotaapidipagina">
    <w:name w:val="footnote reference"/>
    <w:basedOn w:val="Carpredefinitoparagrafo"/>
    <w:semiHidden/>
    <w:unhideWhenUsed/>
    <w:rsid w:val="00DB3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8015-BE24-4B36-A152-50ACC1D3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2010-05-11T11:53:00Z</cp:lastPrinted>
  <dcterms:created xsi:type="dcterms:W3CDTF">2023-06-15T07:33:00Z</dcterms:created>
  <dcterms:modified xsi:type="dcterms:W3CDTF">2023-06-15T07:33:00Z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