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2BFE" w14:textId="2A0336A2" w:rsidR="00BF53A3" w:rsidRPr="00C23CD0" w:rsidRDefault="0043653E">
      <w:pPr>
        <w:pStyle w:val="Titolo1"/>
        <w:ind w:left="0" w:firstLine="0"/>
        <w:jc w:val="both"/>
        <w:rPr>
          <w:rFonts w:ascii="Times New Roman" w:hAnsi="Times New Roman"/>
          <w:color w:val="000000" w:themeColor="text1"/>
          <w:lang w:val="en-GB"/>
        </w:rPr>
      </w:pPr>
      <w:r w:rsidRPr="00C23CD0">
        <w:rPr>
          <w:lang w:val="en-GB"/>
        </w:rPr>
        <w:t>Special Module with Workshop: First Pleasure Then Duty: Philosophical Reflections on Well-being</w:t>
      </w:r>
    </w:p>
    <w:p w14:paraId="2B1697F3" w14:textId="539E6A49" w:rsidR="00BF53A3" w:rsidRPr="00C23CD0" w:rsidRDefault="0043653E">
      <w:pPr>
        <w:pStyle w:val="Titolo2"/>
      </w:pPr>
      <w:r w:rsidRPr="00C23CD0">
        <w:t xml:space="preserve">Prof. Antonella Morandi Corradini </w:t>
      </w:r>
    </w:p>
    <w:p w14:paraId="67C72013" w14:textId="77777777" w:rsidR="00BF53A3" w:rsidRPr="00C23CD0" w:rsidRDefault="0043653E">
      <w:pPr>
        <w:pStyle w:val="P68B1DB1-Normale1"/>
        <w:spacing w:before="240" w:after="120" w:line="240" w:lineRule="exact"/>
        <w:jc w:val="both"/>
        <w:rPr>
          <w:lang w:val="en-GB"/>
        </w:rPr>
      </w:pPr>
      <w:r w:rsidRPr="00C23CD0">
        <w:rPr>
          <w:lang w:val="en-GB"/>
        </w:rPr>
        <w:t>COURSE AIMS AND INTENDED LEARNING OUTCOMES</w:t>
      </w:r>
    </w:p>
    <w:p w14:paraId="2A9573A5" w14:textId="6D81EB19" w:rsidR="00BF53A3" w:rsidRPr="00C23CD0" w:rsidRDefault="0043653E">
      <w:pPr>
        <w:pStyle w:val="P68B1DB1-Normale2"/>
        <w:spacing w:after="120" w:line="240" w:lineRule="exact"/>
        <w:jc w:val="both"/>
        <w:rPr>
          <w:lang w:val="en-GB"/>
        </w:rPr>
      </w:pPr>
      <w:r w:rsidRPr="00C23CD0">
        <w:rPr>
          <w:i/>
          <w:lang w:val="en-GB"/>
        </w:rPr>
        <w:t>Course aims</w:t>
      </w:r>
      <w:r w:rsidRPr="00C23CD0">
        <w:rPr>
          <w:lang w:val="en-GB"/>
        </w:rPr>
        <w:t xml:space="preserve">: The fundamental aim of the course is to clarify the concept of well-being, to reconstruct its multiplicity of meanings, and to </w:t>
      </w:r>
      <w:r w:rsidR="00476E1C" w:rsidRPr="00C23CD0">
        <w:rPr>
          <w:lang w:val="en-GB"/>
        </w:rPr>
        <w:t>define it in a contrastive way to other different but related concepts</w:t>
      </w:r>
      <w:r w:rsidRPr="00C23CD0">
        <w:rPr>
          <w:lang w:val="en-GB"/>
        </w:rPr>
        <w:t>.</w:t>
      </w:r>
    </w:p>
    <w:p w14:paraId="1D77211E" w14:textId="77777777" w:rsidR="00BF53A3" w:rsidRPr="00C23CD0" w:rsidRDefault="0043653E">
      <w:pPr>
        <w:pStyle w:val="P68B1DB1-Normale2"/>
        <w:spacing w:after="120" w:line="240" w:lineRule="exact"/>
        <w:jc w:val="both"/>
        <w:rPr>
          <w:lang w:val="en-GB"/>
        </w:rPr>
      </w:pPr>
      <w:r w:rsidRPr="00C23CD0">
        <w:rPr>
          <w:i/>
          <w:lang w:val="en-GB"/>
        </w:rPr>
        <w:t>Knowledge and understanding</w:t>
      </w:r>
      <w:r w:rsidRPr="00C23CD0">
        <w:rPr>
          <w:lang w:val="en-GB"/>
        </w:rPr>
        <w:t>: at the end of the course, students will be able to masterfully present the concepts of well-being discussed, demonstrating an ability to grasp the essential traits in order to compare and evaluate them.</w:t>
      </w:r>
    </w:p>
    <w:p w14:paraId="54938A3F" w14:textId="716EF1D3" w:rsidR="00BF53A3" w:rsidRPr="00C23CD0" w:rsidRDefault="0043653E">
      <w:pPr>
        <w:pStyle w:val="P68B1DB1-Normale2"/>
        <w:spacing w:after="120" w:line="240" w:lineRule="exact"/>
        <w:jc w:val="both"/>
        <w:rPr>
          <w:lang w:val="en-GB"/>
        </w:rPr>
      </w:pPr>
      <w:r w:rsidRPr="00C23CD0">
        <w:rPr>
          <w:i/>
          <w:lang w:val="en-GB"/>
        </w:rPr>
        <w:t>Ability to apply knowledge and understanding</w:t>
      </w:r>
      <w:r w:rsidRPr="00C23CD0">
        <w:rPr>
          <w:lang w:val="en-GB"/>
        </w:rPr>
        <w:t>: students will be able to understand the many meanings of the concept of well-being that underlie the studies dedicated by psychologists to this construct.</w:t>
      </w:r>
    </w:p>
    <w:p w14:paraId="1ADA9CBF" w14:textId="193075F5" w:rsidR="00BF53A3" w:rsidRPr="00C23CD0" w:rsidRDefault="0043653E">
      <w:pPr>
        <w:pStyle w:val="P68B1DB1-Normale1"/>
        <w:spacing w:before="240" w:after="120" w:line="240" w:lineRule="exact"/>
        <w:jc w:val="both"/>
        <w:rPr>
          <w:lang w:val="en-US"/>
        </w:rPr>
      </w:pPr>
      <w:r w:rsidRPr="00C23CD0">
        <w:rPr>
          <w:lang w:val="en-US"/>
        </w:rPr>
        <w:t>COURSE CONTENT</w:t>
      </w:r>
    </w:p>
    <w:p w14:paraId="6246835D" w14:textId="77777777" w:rsidR="00513F0C" w:rsidRPr="00C23CD0" w:rsidRDefault="00513F0C" w:rsidP="00513F0C">
      <w:pPr>
        <w:pStyle w:val="s17"/>
        <w:spacing w:before="0" w:beforeAutospacing="0" w:after="0" w:afterAutospacing="0" w:line="240" w:lineRule="exact"/>
        <w:jc w:val="both"/>
        <w:rPr>
          <w:rStyle w:val="s19"/>
          <w:i/>
          <w:color w:val="000000"/>
          <w:sz w:val="20"/>
          <w:lang w:val="en-GB"/>
        </w:rPr>
      </w:pPr>
      <w:r w:rsidRPr="00C23CD0">
        <w:rPr>
          <w:rStyle w:val="s19"/>
          <w:color w:val="000000"/>
          <w:sz w:val="20"/>
          <w:lang w:val="en-GB"/>
        </w:rPr>
        <w:t xml:space="preserve">MODULE 1: </w:t>
      </w:r>
      <w:r w:rsidRPr="00C23CD0">
        <w:rPr>
          <w:rStyle w:val="s19"/>
          <w:i/>
          <w:color w:val="000000"/>
          <w:sz w:val="20"/>
          <w:lang w:val="en-GB"/>
        </w:rPr>
        <w:t xml:space="preserve">Presentation by the lecturer of two fundamental topics of the philosophical notion of well-being: </w:t>
      </w:r>
    </w:p>
    <w:p w14:paraId="462A6771" w14:textId="2ABCF193" w:rsidR="00513F0C" w:rsidRPr="00C23CD0" w:rsidRDefault="00513F0C" w:rsidP="00513F0C">
      <w:pPr>
        <w:pStyle w:val="s17"/>
        <w:spacing w:before="0" w:beforeAutospacing="0" w:after="0" w:afterAutospacing="0" w:line="240" w:lineRule="exact"/>
        <w:jc w:val="both"/>
        <w:rPr>
          <w:rStyle w:val="s19"/>
          <w:i/>
          <w:color w:val="000000"/>
          <w:sz w:val="20"/>
          <w:lang w:val="en-GB"/>
        </w:rPr>
      </w:pPr>
      <w:r w:rsidRPr="00C23CD0">
        <w:rPr>
          <w:rStyle w:val="s19"/>
          <w:color w:val="000000"/>
          <w:sz w:val="20"/>
          <w:lang w:val="en-GB"/>
        </w:rPr>
        <w:t>Unit 1</w:t>
      </w:r>
      <w:r w:rsidRPr="00C23CD0">
        <w:rPr>
          <w:rStyle w:val="s19"/>
          <w:i/>
          <w:color w:val="000000"/>
          <w:sz w:val="20"/>
          <w:lang w:val="en-GB"/>
        </w:rPr>
        <w:t xml:space="preserve">. </w:t>
      </w:r>
      <w:r w:rsidR="00D43107">
        <w:rPr>
          <w:rStyle w:val="s19"/>
          <w:color w:val="000000"/>
          <w:sz w:val="20"/>
          <w:lang w:val="en-GB"/>
        </w:rPr>
        <w:t>Good</w:t>
      </w:r>
      <w:r w:rsidRPr="00C23CD0">
        <w:rPr>
          <w:rStyle w:val="s19"/>
          <w:color w:val="000000"/>
          <w:sz w:val="20"/>
          <w:lang w:val="en-GB"/>
        </w:rPr>
        <w:t xml:space="preserve"> vs. well-being</w:t>
      </w:r>
    </w:p>
    <w:p w14:paraId="63CF4007"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2</w:t>
      </w:r>
      <w:r w:rsidRPr="00C23CD0">
        <w:rPr>
          <w:rStyle w:val="s19"/>
          <w:i/>
          <w:color w:val="000000"/>
          <w:sz w:val="20"/>
          <w:lang w:val="en-GB"/>
        </w:rPr>
        <w:t xml:space="preserve">. </w:t>
      </w:r>
      <w:r w:rsidRPr="00C23CD0">
        <w:rPr>
          <w:rStyle w:val="s19"/>
          <w:color w:val="000000"/>
          <w:sz w:val="20"/>
          <w:lang w:val="en-GB"/>
        </w:rPr>
        <w:t>Subjective versus objective well-being.</w:t>
      </w:r>
    </w:p>
    <w:p w14:paraId="20D82E8D" w14:textId="77777777" w:rsidR="00513F0C" w:rsidRPr="00C23CD0" w:rsidRDefault="00513F0C" w:rsidP="00513F0C">
      <w:pPr>
        <w:pStyle w:val="s17"/>
        <w:spacing w:before="120" w:beforeAutospacing="0" w:after="0" w:afterAutospacing="0" w:line="240" w:lineRule="exact"/>
        <w:jc w:val="both"/>
        <w:rPr>
          <w:rStyle w:val="s19"/>
          <w:i/>
          <w:color w:val="000000"/>
          <w:sz w:val="20"/>
          <w:lang w:val="en-GB"/>
        </w:rPr>
      </w:pPr>
      <w:r w:rsidRPr="00C23CD0">
        <w:rPr>
          <w:rStyle w:val="s19"/>
          <w:color w:val="000000"/>
          <w:sz w:val="20"/>
          <w:lang w:val="en-GB"/>
        </w:rPr>
        <w:t xml:space="preserve">MODULE 2: </w:t>
      </w:r>
      <w:r w:rsidRPr="00C23CD0">
        <w:rPr>
          <w:rStyle w:val="s19"/>
          <w:i/>
          <w:color w:val="000000"/>
          <w:sz w:val="20"/>
          <w:lang w:val="en-GB"/>
        </w:rPr>
        <w:t>Hedonism</w:t>
      </w:r>
    </w:p>
    <w:p w14:paraId="207EA12E"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1: Presentation of hedonism</w:t>
      </w:r>
    </w:p>
    <w:p w14:paraId="34FA1FE7"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2: Arguments in favour of hedonism</w:t>
      </w:r>
    </w:p>
    <w:p w14:paraId="7AA6B19D"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3: Objections to hedonism</w:t>
      </w:r>
    </w:p>
    <w:p w14:paraId="67F8C5ED" w14:textId="77777777" w:rsidR="00513F0C" w:rsidRPr="00C23CD0" w:rsidRDefault="00513F0C" w:rsidP="00513F0C">
      <w:pPr>
        <w:pStyle w:val="s17"/>
        <w:spacing w:before="120" w:beforeAutospacing="0" w:after="0" w:afterAutospacing="0" w:line="240" w:lineRule="exact"/>
        <w:jc w:val="both"/>
        <w:rPr>
          <w:rStyle w:val="s19"/>
          <w:color w:val="000000"/>
          <w:sz w:val="20"/>
          <w:lang w:val="en-GB"/>
        </w:rPr>
      </w:pPr>
      <w:r w:rsidRPr="00C23CD0">
        <w:rPr>
          <w:rStyle w:val="s19"/>
          <w:color w:val="000000"/>
          <w:sz w:val="20"/>
          <w:lang w:val="en-GB"/>
        </w:rPr>
        <w:t xml:space="preserve">MODULE 3: </w:t>
      </w:r>
      <w:r w:rsidRPr="00C23CD0">
        <w:rPr>
          <w:rStyle w:val="s19"/>
          <w:i/>
          <w:color w:val="000000"/>
          <w:sz w:val="20"/>
          <w:lang w:val="en-GB"/>
        </w:rPr>
        <w:t>Desire Satisfaction Theory</w:t>
      </w:r>
    </w:p>
    <w:p w14:paraId="4DCDF288"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 xml:space="preserve">Unit 1: Presentation of the theory </w:t>
      </w:r>
    </w:p>
    <w:p w14:paraId="70DE38A6"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 xml:space="preserve">Unit 2: Arguments in favour of the theory </w:t>
      </w:r>
    </w:p>
    <w:p w14:paraId="18303211"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 xml:space="preserve">Unit 3: Objections to the theory </w:t>
      </w:r>
    </w:p>
    <w:p w14:paraId="0BFD7019" w14:textId="77777777" w:rsidR="00513F0C" w:rsidRPr="00C23CD0" w:rsidRDefault="00513F0C" w:rsidP="00513F0C">
      <w:pPr>
        <w:pStyle w:val="s17"/>
        <w:spacing w:before="120" w:beforeAutospacing="0" w:after="0" w:afterAutospacing="0" w:line="240" w:lineRule="exact"/>
        <w:jc w:val="both"/>
        <w:rPr>
          <w:rStyle w:val="s19"/>
          <w:color w:val="000000"/>
          <w:sz w:val="20"/>
          <w:lang w:val="en-GB"/>
        </w:rPr>
      </w:pPr>
      <w:r w:rsidRPr="00C23CD0">
        <w:rPr>
          <w:rStyle w:val="s19"/>
          <w:color w:val="000000"/>
          <w:sz w:val="20"/>
          <w:lang w:val="en-GB"/>
        </w:rPr>
        <w:t xml:space="preserve">MODULE 4: </w:t>
      </w:r>
      <w:r w:rsidRPr="00C23CD0">
        <w:rPr>
          <w:rStyle w:val="s19"/>
          <w:i/>
          <w:color w:val="000000"/>
          <w:sz w:val="20"/>
          <w:lang w:val="en-GB"/>
        </w:rPr>
        <w:t>Objective List Theories</w:t>
      </w:r>
    </w:p>
    <w:p w14:paraId="14C23239"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 xml:space="preserve">Unit 1: Presentation of the theory </w:t>
      </w:r>
    </w:p>
    <w:p w14:paraId="790D5E97"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2: Arguments in favour of the theory</w:t>
      </w:r>
    </w:p>
    <w:p w14:paraId="10F2B54E"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3: Objections to the theory</w:t>
      </w:r>
    </w:p>
    <w:p w14:paraId="4A221AEC" w14:textId="77777777" w:rsidR="00513F0C" w:rsidRPr="00C23CD0" w:rsidRDefault="00513F0C" w:rsidP="00513F0C">
      <w:pPr>
        <w:pStyle w:val="s17"/>
        <w:spacing w:before="120" w:beforeAutospacing="0" w:after="0" w:afterAutospacing="0" w:line="240" w:lineRule="exact"/>
        <w:jc w:val="both"/>
        <w:rPr>
          <w:rStyle w:val="s19"/>
          <w:i/>
          <w:color w:val="000000"/>
          <w:sz w:val="20"/>
          <w:lang w:val="en-GB"/>
        </w:rPr>
      </w:pPr>
      <w:r w:rsidRPr="00C23CD0">
        <w:rPr>
          <w:rStyle w:val="s19"/>
          <w:color w:val="000000"/>
          <w:sz w:val="20"/>
          <w:lang w:val="en-GB"/>
        </w:rPr>
        <w:t xml:space="preserve">MODULE 5: </w:t>
      </w:r>
      <w:r w:rsidRPr="00C23CD0">
        <w:rPr>
          <w:rStyle w:val="s19"/>
          <w:i/>
          <w:color w:val="000000"/>
          <w:sz w:val="20"/>
          <w:lang w:val="en-GB"/>
        </w:rPr>
        <w:t>Perfectionist theories of well-being</w:t>
      </w:r>
    </w:p>
    <w:p w14:paraId="196FA24F"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1: Presentation of the theory</w:t>
      </w:r>
    </w:p>
    <w:p w14:paraId="6AB26A9E"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lastRenderedPageBreak/>
        <w:t>Unit 2: Arguments in favour of the theory</w:t>
      </w:r>
    </w:p>
    <w:p w14:paraId="59B118E5"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3: Objections to the theory</w:t>
      </w:r>
    </w:p>
    <w:p w14:paraId="7A14FFCD" w14:textId="77777777" w:rsidR="00513F0C" w:rsidRPr="00C23CD0" w:rsidRDefault="00513F0C" w:rsidP="00513F0C">
      <w:pPr>
        <w:pStyle w:val="s17"/>
        <w:spacing w:before="120" w:beforeAutospacing="0" w:after="0" w:afterAutospacing="0" w:line="240" w:lineRule="exact"/>
        <w:jc w:val="both"/>
        <w:rPr>
          <w:rStyle w:val="s19"/>
          <w:i/>
          <w:color w:val="000000"/>
          <w:sz w:val="20"/>
          <w:lang w:val="en-GB"/>
        </w:rPr>
      </w:pPr>
      <w:r w:rsidRPr="00C23CD0">
        <w:rPr>
          <w:rStyle w:val="s19"/>
          <w:color w:val="000000"/>
          <w:sz w:val="20"/>
          <w:lang w:val="en-GB"/>
        </w:rPr>
        <w:t xml:space="preserve">MODULE 6: </w:t>
      </w:r>
      <w:r w:rsidRPr="00C23CD0">
        <w:rPr>
          <w:rStyle w:val="s19"/>
          <w:i/>
          <w:color w:val="000000"/>
          <w:sz w:val="20"/>
          <w:lang w:val="en-GB"/>
        </w:rPr>
        <w:t>Eudaimonia, flourishing, happiness</w:t>
      </w:r>
    </w:p>
    <w:p w14:paraId="12A649EC"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1: Presentation of the theories</w:t>
      </w:r>
    </w:p>
    <w:p w14:paraId="106E8C53"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2: Arguments in favour of the theories</w:t>
      </w:r>
    </w:p>
    <w:p w14:paraId="7C09F85B" w14:textId="77777777" w:rsidR="00513F0C" w:rsidRPr="00C23CD0" w:rsidRDefault="00513F0C" w:rsidP="00513F0C">
      <w:pPr>
        <w:pStyle w:val="s17"/>
        <w:spacing w:before="0" w:beforeAutospacing="0" w:after="0" w:afterAutospacing="0" w:line="240" w:lineRule="exact"/>
        <w:jc w:val="both"/>
        <w:rPr>
          <w:rStyle w:val="s19"/>
          <w:i/>
          <w:color w:val="000000"/>
          <w:sz w:val="20"/>
          <w:lang w:val="en-GB"/>
        </w:rPr>
      </w:pPr>
      <w:r w:rsidRPr="00C23CD0">
        <w:rPr>
          <w:rStyle w:val="s19"/>
          <w:color w:val="000000"/>
          <w:sz w:val="20"/>
          <w:lang w:val="en-GB"/>
        </w:rPr>
        <w:t>Unit 3: Objections to the theories</w:t>
      </w:r>
    </w:p>
    <w:p w14:paraId="2589C1B5" w14:textId="77777777" w:rsidR="00513F0C" w:rsidRPr="00C23CD0" w:rsidRDefault="00513F0C" w:rsidP="00513F0C">
      <w:pPr>
        <w:pStyle w:val="s17"/>
        <w:spacing w:before="120" w:beforeAutospacing="0" w:after="0" w:afterAutospacing="0" w:line="240" w:lineRule="exact"/>
        <w:jc w:val="both"/>
        <w:rPr>
          <w:rStyle w:val="s19"/>
          <w:color w:val="000000"/>
          <w:sz w:val="20"/>
          <w:lang w:val="en-GB"/>
        </w:rPr>
      </w:pPr>
      <w:r w:rsidRPr="00C23CD0">
        <w:rPr>
          <w:rStyle w:val="s19"/>
          <w:color w:val="000000"/>
          <w:sz w:val="20"/>
          <w:lang w:val="en-GB"/>
        </w:rPr>
        <w:t xml:space="preserve">MODULE 7: </w:t>
      </w:r>
      <w:r w:rsidRPr="00C23CD0">
        <w:rPr>
          <w:rStyle w:val="s19"/>
          <w:i/>
          <w:color w:val="000000"/>
          <w:sz w:val="20"/>
          <w:lang w:val="en-GB"/>
        </w:rPr>
        <w:t>A comparison of the psychological theories of well-being</w:t>
      </w:r>
    </w:p>
    <w:p w14:paraId="30D8FFF7" w14:textId="77777777" w:rsidR="00513F0C" w:rsidRPr="00C23CD0" w:rsidRDefault="00513F0C" w:rsidP="007376B2">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1: Analogies and differences between Subjective Well-being (E. Diener) and Objective Happiness (D. Kahneman)</w:t>
      </w:r>
    </w:p>
    <w:p w14:paraId="0FE07DF3" w14:textId="77777777" w:rsidR="00513F0C" w:rsidRPr="00C23CD0" w:rsidRDefault="00513F0C" w:rsidP="00513F0C">
      <w:pPr>
        <w:pStyle w:val="P68B1DB1-Normale3"/>
        <w:rPr>
          <w:highlight w:val="none"/>
          <w:lang w:val="en-GB"/>
        </w:rPr>
      </w:pPr>
      <w:r w:rsidRPr="00C23CD0">
        <w:rPr>
          <w:highlight w:val="none"/>
          <w:lang w:val="en-GB"/>
        </w:rPr>
        <w:t>Unit</w:t>
      </w:r>
      <w:r w:rsidRPr="00C23CD0">
        <w:rPr>
          <w:i/>
          <w:highlight w:val="none"/>
          <w:lang w:val="en-GB"/>
        </w:rPr>
        <w:t xml:space="preserve"> </w:t>
      </w:r>
      <w:r w:rsidRPr="00C23CD0">
        <w:rPr>
          <w:highlight w:val="none"/>
          <w:lang w:val="en-GB"/>
        </w:rPr>
        <w:t>2</w:t>
      </w:r>
      <w:r w:rsidRPr="00C23CD0">
        <w:rPr>
          <w:i/>
          <w:highlight w:val="none"/>
          <w:lang w:val="en-GB"/>
        </w:rPr>
        <w:t>:</w:t>
      </w:r>
      <w:r w:rsidRPr="00C23CD0">
        <w:rPr>
          <w:highlight w:val="none"/>
          <w:lang w:val="en-GB"/>
        </w:rPr>
        <w:t xml:space="preserve"> Analogies and differences between Psychological Well-being (C. Ryff) and the PERMA model (M. Seligman)</w:t>
      </w:r>
    </w:p>
    <w:p w14:paraId="324C973D" w14:textId="77777777" w:rsidR="00513F0C" w:rsidRPr="00C23CD0" w:rsidRDefault="00513F0C" w:rsidP="00513F0C">
      <w:pPr>
        <w:pStyle w:val="P68B1DB1-Normale3"/>
        <w:rPr>
          <w:highlight w:val="none"/>
          <w:lang w:val="en-GB"/>
        </w:rPr>
      </w:pPr>
      <w:r w:rsidRPr="00C23CD0">
        <w:rPr>
          <w:highlight w:val="none"/>
          <w:lang w:val="en-GB"/>
        </w:rPr>
        <w:t>Unit</w:t>
      </w:r>
      <w:r w:rsidRPr="00C23CD0">
        <w:rPr>
          <w:i/>
          <w:highlight w:val="none"/>
          <w:lang w:val="en-GB"/>
        </w:rPr>
        <w:t xml:space="preserve"> </w:t>
      </w:r>
      <w:r w:rsidRPr="00C23CD0">
        <w:rPr>
          <w:highlight w:val="none"/>
          <w:lang w:val="en-GB"/>
        </w:rPr>
        <w:t>3</w:t>
      </w:r>
      <w:r w:rsidRPr="00C23CD0">
        <w:rPr>
          <w:i/>
          <w:highlight w:val="none"/>
          <w:lang w:val="en-GB"/>
        </w:rPr>
        <w:t>:</w:t>
      </w:r>
      <w:r w:rsidRPr="00C23CD0">
        <w:rPr>
          <w:highlight w:val="none"/>
          <w:lang w:val="en-GB"/>
        </w:rPr>
        <w:t xml:space="preserve"> Analogies and differences between Self-Determination Theory (E. Ryan, R. Deci) and Network Theory (M. Bishop)</w:t>
      </w:r>
    </w:p>
    <w:p w14:paraId="3F52CF55" w14:textId="77777777" w:rsidR="00513F0C" w:rsidRPr="00C23CD0" w:rsidRDefault="00513F0C" w:rsidP="00513F0C">
      <w:pPr>
        <w:pStyle w:val="P68B1DB1-Normale3"/>
        <w:spacing w:before="120"/>
        <w:rPr>
          <w:highlight w:val="none"/>
          <w:lang w:val="en-GB"/>
        </w:rPr>
      </w:pPr>
      <w:r w:rsidRPr="00C23CD0">
        <w:rPr>
          <w:highlight w:val="none"/>
          <w:lang w:val="en-GB"/>
        </w:rPr>
        <w:t xml:space="preserve">MODULE 8: </w:t>
      </w:r>
      <w:r w:rsidRPr="00C23CD0">
        <w:rPr>
          <w:i/>
          <w:highlight w:val="none"/>
          <w:lang w:val="en-GB"/>
        </w:rPr>
        <w:t>Main criticisms of theories of well-being and positive psychology</w:t>
      </w:r>
    </w:p>
    <w:p w14:paraId="66E8D75A" w14:textId="77777777" w:rsidR="00513F0C" w:rsidRPr="00C23CD0" w:rsidRDefault="00513F0C" w:rsidP="00513F0C">
      <w:pPr>
        <w:pStyle w:val="P68B1DB1-Normale3"/>
        <w:rPr>
          <w:highlight w:val="none"/>
          <w:lang w:val="en-GB"/>
        </w:rPr>
      </w:pPr>
      <w:r w:rsidRPr="00C23CD0">
        <w:rPr>
          <w:highlight w:val="none"/>
          <w:lang w:val="en-GB"/>
        </w:rPr>
        <w:t>Unit 1</w:t>
      </w:r>
      <w:r w:rsidRPr="00C23CD0">
        <w:rPr>
          <w:i/>
          <w:highlight w:val="none"/>
          <w:lang w:val="en-GB"/>
        </w:rPr>
        <w:t>:</w:t>
      </w:r>
      <w:r w:rsidRPr="00C23CD0">
        <w:rPr>
          <w:highlight w:val="none"/>
          <w:lang w:val="en-GB"/>
        </w:rPr>
        <w:t xml:space="preserve"> Culture, value neutrality and the psychology of well-being</w:t>
      </w:r>
    </w:p>
    <w:p w14:paraId="0D9A91FB" w14:textId="77777777" w:rsidR="00513F0C" w:rsidRPr="00C23CD0" w:rsidRDefault="00513F0C" w:rsidP="00513F0C">
      <w:pPr>
        <w:pStyle w:val="P68B1DB1-Normale3"/>
        <w:rPr>
          <w:highlight w:val="none"/>
          <w:lang w:val="en-GB"/>
        </w:rPr>
      </w:pPr>
      <w:r w:rsidRPr="00C23CD0">
        <w:rPr>
          <w:highlight w:val="none"/>
          <w:lang w:val="en-GB"/>
        </w:rPr>
        <w:t>Unit 2</w:t>
      </w:r>
      <w:r w:rsidRPr="00C23CD0">
        <w:rPr>
          <w:i/>
          <w:highlight w:val="none"/>
          <w:lang w:val="en-GB"/>
        </w:rPr>
        <w:t>:</w:t>
      </w:r>
      <w:r w:rsidRPr="00C23CD0">
        <w:rPr>
          <w:highlight w:val="none"/>
          <w:lang w:val="en-GB"/>
        </w:rPr>
        <w:t xml:space="preserve"> Universality of decontextualisation theories and critiques</w:t>
      </w:r>
    </w:p>
    <w:p w14:paraId="7DDF0E71" w14:textId="77777777" w:rsidR="00513F0C" w:rsidRPr="00C23CD0" w:rsidRDefault="00513F0C" w:rsidP="00513F0C">
      <w:pPr>
        <w:pStyle w:val="P68B1DB1-Normale3"/>
        <w:rPr>
          <w:highlight w:val="none"/>
          <w:lang w:val="en-GB"/>
        </w:rPr>
      </w:pPr>
      <w:r w:rsidRPr="00C23CD0">
        <w:rPr>
          <w:highlight w:val="none"/>
          <w:lang w:val="en-GB"/>
        </w:rPr>
        <w:t>Unit 3</w:t>
      </w:r>
      <w:r w:rsidRPr="00C23CD0">
        <w:rPr>
          <w:i/>
          <w:highlight w:val="none"/>
          <w:lang w:val="en-GB"/>
        </w:rPr>
        <w:t>:</w:t>
      </w:r>
      <w:r w:rsidRPr="00C23CD0">
        <w:rPr>
          <w:highlight w:val="none"/>
          <w:lang w:val="en-GB"/>
        </w:rPr>
        <w:t xml:space="preserve"> What itinerary to take from the descriptive to the prescriptive plan?</w:t>
      </w:r>
    </w:p>
    <w:p w14:paraId="7139F118" w14:textId="77777777" w:rsidR="00513F0C" w:rsidRPr="00C23CD0" w:rsidRDefault="00513F0C" w:rsidP="00513F0C">
      <w:pPr>
        <w:pStyle w:val="s17"/>
        <w:spacing w:before="120" w:beforeAutospacing="0" w:after="0" w:afterAutospacing="0" w:line="240" w:lineRule="exact"/>
        <w:jc w:val="both"/>
        <w:rPr>
          <w:rStyle w:val="s19"/>
          <w:color w:val="000000"/>
          <w:sz w:val="20"/>
          <w:lang w:val="en-GB"/>
        </w:rPr>
      </w:pPr>
      <w:r w:rsidRPr="00C23CD0">
        <w:rPr>
          <w:rStyle w:val="s19"/>
          <w:color w:val="000000"/>
          <w:sz w:val="20"/>
          <w:lang w:val="en-GB"/>
        </w:rPr>
        <w:t>MODULE 9</w:t>
      </w:r>
      <w:r w:rsidRPr="00C23CD0">
        <w:rPr>
          <w:rStyle w:val="s19"/>
          <w:i/>
          <w:color w:val="000000"/>
          <w:sz w:val="20"/>
          <w:lang w:val="en-GB"/>
        </w:rPr>
        <w:t>:</w:t>
      </w:r>
      <w:r w:rsidRPr="00C23CD0">
        <w:rPr>
          <w:rStyle w:val="s19"/>
          <w:color w:val="000000"/>
          <w:sz w:val="20"/>
          <w:lang w:val="en-GB"/>
        </w:rPr>
        <w:t xml:space="preserve"> </w:t>
      </w:r>
      <w:r w:rsidRPr="00C23CD0">
        <w:rPr>
          <w:rStyle w:val="s19"/>
          <w:i/>
          <w:color w:val="000000"/>
          <w:sz w:val="20"/>
          <w:lang w:val="en-GB"/>
        </w:rPr>
        <w:t>Presentation of some measures of well-being</w:t>
      </w:r>
    </w:p>
    <w:p w14:paraId="56E32339"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 xml:space="preserve">Unit 1: Analogies and differences between the two hedonic measures of well-being: </w:t>
      </w:r>
      <w:r w:rsidRPr="00C23CD0">
        <w:rPr>
          <w:rStyle w:val="s19"/>
          <w:i/>
          <w:color w:val="000000"/>
          <w:sz w:val="20"/>
          <w:lang w:val="en-GB"/>
        </w:rPr>
        <w:t xml:space="preserve">Satisfaction with Life Scale </w:t>
      </w:r>
      <w:r w:rsidRPr="00C23CD0">
        <w:rPr>
          <w:rStyle w:val="s19"/>
          <w:color w:val="000000"/>
          <w:sz w:val="20"/>
          <w:lang w:val="en-GB"/>
        </w:rPr>
        <w:t xml:space="preserve">(E. Diener) and </w:t>
      </w:r>
      <w:r w:rsidRPr="00C23CD0">
        <w:rPr>
          <w:rStyle w:val="s19"/>
          <w:i/>
          <w:color w:val="000000"/>
          <w:sz w:val="20"/>
          <w:lang w:val="en-GB"/>
        </w:rPr>
        <w:t>Objective Happiness</w:t>
      </w:r>
      <w:r w:rsidRPr="00C23CD0">
        <w:rPr>
          <w:rStyle w:val="s19"/>
          <w:color w:val="000000"/>
          <w:sz w:val="20"/>
          <w:lang w:val="en-GB"/>
        </w:rPr>
        <w:t xml:space="preserve"> (D. Kahneman).</w:t>
      </w:r>
    </w:p>
    <w:p w14:paraId="62CB2523"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 xml:space="preserve">Unit 2: Analogies and differences between two eudaimonic measures: the </w:t>
      </w:r>
      <w:r w:rsidRPr="00C23CD0">
        <w:rPr>
          <w:rStyle w:val="s19"/>
          <w:i/>
          <w:color w:val="000000"/>
          <w:sz w:val="20"/>
          <w:lang w:val="en-GB"/>
        </w:rPr>
        <w:t>Scale of Psychological Well-Being</w:t>
      </w:r>
      <w:r w:rsidRPr="00C23CD0">
        <w:rPr>
          <w:rStyle w:val="s19"/>
          <w:color w:val="000000"/>
          <w:sz w:val="20"/>
          <w:lang w:val="en-GB"/>
        </w:rPr>
        <w:t xml:space="preserve"> (C. Ryff) and the </w:t>
      </w:r>
      <w:r w:rsidRPr="00C23CD0">
        <w:rPr>
          <w:rStyle w:val="s19"/>
          <w:i/>
          <w:color w:val="000000"/>
          <w:sz w:val="20"/>
          <w:lang w:val="en-GB"/>
        </w:rPr>
        <w:t xml:space="preserve">Questionnaire for Eudaimonic Well-Being </w:t>
      </w:r>
      <w:r w:rsidRPr="00C23CD0">
        <w:rPr>
          <w:rStyle w:val="s19"/>
          <w:color w:val="000000"/>
          <w:sz w:val="20"/>
          <w:lang w:val="en-GB"/>
        </w:rPr>
        <w:t xml:space="preserve"> (A. Waterman).</w:t>
      </w:r>
    </w:p>
    <w:p w14:paraId="265C8AFB"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3: The lack of theory in the construction of well-being assessment scales.</w:t>
      </w:r>
    </w:p>
    <w:p w14:paraId="474C7BCD" w14:textId="77777777" w:rsidR="00513F0C" w:rsidRPr="00C23CD0" w:rsidRDefault="00513F0C" w:rsidP="00513F0C">
      <w:pPr>
        <w:pStyle w:val="s17"/>
        <w:spacing w:before="120" w:beforeAutospacing="0" w:after="0" w:afterAutospacing="0" w:line="240" w:lineRule="exact"/>
        <w:jc w:val="both"/>
        <w:rPr>
          <w:rStyle w:val="s19"/>
          <w:color w:val="000000"/>
          <w:sz w:val="20"/>
          <w:lang w:val="en-GB"/>
        </w:rPr>
      </w:pPr>
      <w:r w:rsidRPr="00C23CD0">
        <w:rPr>
          <w:rStyle w:val="s19"/>
          <w:color w:val="000000"/>
          <w:sz w:val="20"/>
          <w:lang w:val="en-GB"/>
        </w:rPr>
        <w:t xml:space="preserve">MODULE 10: </w:t>
      </w:r>
      <w:r w:rsidRPr="00C23CD0">
        <w:rPr>
          <w:rStyle w:val="s19"/>
          <w:i/>
          <w:color w:val="000000"/>
          <w:sz w:val="20"/>
          <w:lang w:val="en-GB"/>
        </w:rPr>
        <w:t>Assessing the measurement of well-being</w:t>
      </w:r>
    </w:p>
    <w:p w14:paraId="5C363F4A"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1: Well-being as an average of aggregated data vs. individual well-being</w:t>
      </w:r>
    </w:p>
    <w:p w14:paraId="2826CF3A"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2: Construct validity and the use of factor analysis</w:t>
      </w:r>
    </w:p>
    <w:p w14:paraId="73E8B9A3" w14:textId="77777777" w:rsidR="00513F0C" w:rsidRPr="00C23CD0" w:rsidRDefault="00513F0C" w:rsidP="00513F0C">
      <w:pPr>
        <w:pStyle w:val="s17"/>
        <w:spacing w:before="0" w:beforeAutospacing="0" w:after="0" w:afterAutospacing="0" w:line="240" w:lineRule="exact"/>
        <w:jc w:val="both"/>
        <w:rPr>
          <w:rStyle w:val="s19"/>
          <w:color w:val="000000"/>
          <w:sz w:val="20"/>
          <w:lang w:val="en-GB"/>
        </w:rPr>
      </w:pPr>
      <w:r w:rsidRPr="00C23CD0">
        <w:rPr>
          <w:rStyle w:val="s19"/>
          <w:color w:val="000000"/>
          <w:sz w:val="20"/>
          <w:lang w:val="en-GB"/>
        </w:rPr>
        <w:t>Unit 3: Can well-being really be measured?</w:t>
      </w:r>
    </w:p>
    <w:p w14:paraId="13C511CF" w14:textId="6865B69A" w:rsidR="00BF53A3" w:rsidRPr="00C23CD0" w:rsidRDefault="0043653E">
      <w:pPr>
        <w:pStyle w:val="P68B1DB1-Normale1"/>
        <w:spacing w:before="240" w:after="120" w:line="220" w:lineRule="exact"/>
        <w:jc w:val="both"/>
      </w:pPr>
      <w:r w:rsidRPr="00C23CD0">
        <w:rPr>
          <w:smallCaps/>
        </w:rPr>
        <w:t>READING</w:t>
      </w:r>
      <w:r w:rsidRPr="00C23CD0">
        <w:t xml:space="preserve"> LIST</w:t>
      </w:r>
    </w:p>
    <w:p w14:paraId="713F4693" w14:textId="4BFB7326" w:rsidR="007C1A49" w:rsidRPr="00C23CD0" w:rsidRDefault="007C1A49" w:rsidP="007C1A49">
      <w:pPr>
        <w:pStyle w:val="Testo1"/>
        <w:rPr>
          <w:rStyle w:val="s19"/>
          <w:color w:val="000000"/>
        </w:rPr>
      </w:pPr>
      <w:r w:rsidRPr="00C23CD0">
        <w:rPr>
          <w:rStyle w:val="s19"/>
          <w:smallCaps/>
          <w:color w:val="000000"/>
          <w:sz w:val="16"/>
          <w:szCs w:val="18"/>
        </w:rPr>
        <w:t>A.</w:t>
      </w:r>
      <w:r w:rsidR="00700636" w:rsidRPr="00C23CD0">
        <w:rPr>
          <w:rStyle w:val="s19"/>
          <w:smallCaps/>
          <w:color w:val="000000"/>
          <w:sz w:val="16"/>
          <w:szCs w:val="18"/>
        </w:rPr>
        <w:t xml:space="preserve"> </w:t>
      </w:r>
      <w:r w:rsidRPr="00C23CD0">
        <w:rPr>
          <w:rStyle w:val="s19"/>
          <w:smallCaps/>
          <w:color w:val="000000"/>
          <w:sz w:val="16"/>
          <w:szCs w:val="18"/>
        </w:rPr>
        <w:t>Corradini</w:t>
      </w:r>
      <w:r w:rsidRPr="00C23CD0">
        <w:rPr>
          <w:rStyle w:val="s19"/>
          <w:i/>
          <w:iCs/>
          <w:smallCaps/>
          <w:color w:val="000000"/>
          <w:sz w:val="16"/>
          <w:szCs w:val="18"/>
        </w:rPr>
        <w:t>,</w:t>
      </w:r>
      <w:r w:rsidRPr="00C23CD0">
        <w:rPr>
          <w:rStyle w:val="s19"/>
          <w:smallCaps/>
          <w:color w:val="000000"/>
          <w:sz w:val="16"/>
          <w:szCs w:val="18"/>
        </w:rPr>
        <w:t xml:space="preserve"> N. Gaj, G. Lo Dico</w:t>
      </w:r>
      <w:r w:rsidRPr="00C23CD0">
        <w:rPr>
          <w:rStyle w:val="s19"/>
          <w:color w:val="000000"/>
          <w:sz w:val="16"/>
          <w:szCs w:val="18"/>
        </w:rPr>
        <w:t xml:space="preserve"> </w:t>
      </w:r>
      <w:r w:rsidRPr="00C23CD0">
        <w:rPr>
          <w:rStyle w:val="s19"/>
          <w:color w:val="000000"/>
        </w:rPr>
        <w:t xml:space="preserve">(2023) </w:t>
      </w:r>
      <w:r w:rsidRPr="00C23CD0">
        <w:rPr>
          <w:rStyle w:val="s19"/>
          <w:i/>
          <w:iCs/>
          <w:color w:val="000000"/>
        </w:rPr>
        <w:t>Filosofia e psicologia del benessere: un approccio integrato</w:t>
      </w:r>
      <w:r w:rsidRPr="00C23CD0">
        <w:rPr>
          <w:rStyle w:val="s19"/>
          <w:color w:val="000000"/>
        </w:rPr>
        <w:t>, Roma: Carocci.</w:t>
      </w:r>
    </w:p>
    <w:p w14:paraId="2988F08E" w14:textId="77777777" w:rsidR="00BF53A3" w:rsidRPr="00C23CD0" w:rsidRDefault="0043653E">
      <w:pPr>
        <w:pStyle w:val="P68B1DB1-Normale1"/>
        <w:spacing w:before="240" w:after="120" w:line="220" w:lineRule="exact"/>
        <w:jc w:val="both"/>
        <w:rPr>
          <w:lang w:val="en-GB"/>
        </w:rPr>
      </w:pPr>
      <w:r w:rsidRPr="00C23CD0">
        <w:rPr>
          <w:lang w:val="en-GB"/>
        </w:rPr>
        <w:t>TEACHING METHOD</w:t>
      </w:r>
    </w:p>
    <w:p w14:paraId="57ACE20A" w14:textId="77777777" w:rsidR="00BF53A3" w:rsidRPr="00C23CD0" w:rsidRDefault="0043653E">
      <w:pPr>
        <w:pStyle w:val="P68B1DB1-Normale4"/>
        <w:spacing w:after="0"/>
        <w:rPr>
          <w:lang w:val="en-GB"/>
        </w:rPr>
      </w:pPr>
      <w:r w:rsidRPr="00C23CD0">
        <w:rPr>
          <w:lang w:val="en-GB"/>
        </w:rPr>
        <w:t>Group seminars</w:t>
      </w:r>
    </w:p>
    <w:p w14:paraId="4C3D5E5B" w14:textId="77777777" w:rsidR="00BF53A3" w:rsidRPr="00C23CD0" w:rsidRDefault="0043653E">
      <w:pPr>
        <w:pStyle w:val="P68B1DB1-Normale1"/>
        <w:spacing w:before="240" w:after="120" w:line="220" w:lineRule="exact"/>
        <w:jc w:val="both"/>
        <w:rPr>
          <w:lang w:val="en-GB"/>
        </w:rPr>
      </w:pPr>
      <w:r w:rsidRPr="00C23CD0">
        <w:rPr>
          <w:lang w:val="en-GB"/>
        </w:rPr>
        <w:t>ASSESSMENT METHOD AND CRITERIA</w:t>
      </w:r>
    </w:p>
    <w:p w14:paraId="7683C30B" w14:textId="457C7DFE" w:rsidR="00BF53A3" w:rsidRPr="00C23CD0" w:rsidRDefault="0043653E">
      <w:pPr>
        <w:pStyle w:val="Testo2"/>
        <w:rPr>
          <w:lang w:val="en-GB"/>
        </w:rPr>
      </w:pPr>
      <w:r w:rsidRPr="00C23CD0">
        <w:rPr>
          <w:lang w:val="en-GB"/>
        </w:rPr>
        <w:lastRenderedPageBreak/>
        <w:t>During the course, students will present - individually or in groups - one of the topics included in the programme, and will discuss it together with the other students and the lecturer. Students will be assessed on their ability to critically present the chosen topic and to interact with their colleagues and the lecturer during the discussion. Those who follow the study path based on the reading list texts will be asked to submit a short discussion report (about 1200 words) on one of the topics mentioned.</w:t>
      </w:r>
    </w:p>
    <w:p w14:paraId="3DC904E8" w14:textId="0AC65A52" w:rsidR="00BF53A3" w:rsidRPr="00C23CD0" w:rsidRDefault="0043653E">
      <w:pPr>
        <w:pStyle w:val="P68B1DB1-Normale1"/>
        <w:spacing w:before="240" w:after="120" w:line="240" w:lineRule="exact"/>
        <w:jc w:val="both"/>
        <w:rPr>
          <w:lang w:val="en-GB"/>
        </w:rPr>
      </w:pPr>
      <w:r w:rsidRPr="00C23CD0">
        <w:rPr>
          <w:lang w:val="en-GB"/>
        </w:rPr>
        <w:t xml:space="preserve">NOTES AND PREREQUISITES </w:t>
      </w:r>
    </w:p>
    <w:p w14:paraId="7C174453" w14:textId="77777777" w:rsidR="00BF53A3" w:rsidRPr="00C23CD0" w:rsidRDefault="0043653E">
      <w:pPr>
        <w:pStyle w:val="P68B1DB1-Testo25"/>
        <w:rPr>
          <w:lang w:val="en-GB"/>
        </w:rPr>
      </w:pPr>
      <w:r w:rsidRPr="00C23CD0">
        <w:rPr>
          <w:lang w:val="en-GB"/>
        </w:rPr>
        <w:t>There are no prerequisites.</w:t>
      </w:r>
    </w:p>
    <w:p w14:paraId="17FD6190" w14:textId="77777777" w:rsidR="00BF53A3" w:rsidRPr="00142979" w:rsidRDefault="0043653E">
      <w:pPr>
        <w:pStyle w:val="Testo2"/>
        <w:spacing w:before="120"/>
        <w:rPr>
          <w:lang w:val="en-GB"/>
        </w:rPr>
      </w:pPr>
      <w:r w:rsidRPr="00C23CD0">
        <w:rPr>
          <w:lang w:val="en-GB"/>
        </w:rPr>
        <w:t>Further information can be found on the lecturer's webpage at http://docenti.unicatt.it/web/searchByName.do?language=ENG or on the Faculty notice board.</w:t>
      </w:r>
    </w:p>
    <w:p w14:paraId="7827A768" w14:textId="77777777" w:rsidR="00BF53A3" w:rsidRPr="00142979" w:rsidRDefault="00BF53A3">
      <w:pPr>
        <w:pStyle w:val="Testo2"/>
        <w:rPr>
          <w:rFonts w:ascii="Times New Roman" w:hAnsi="Times New Roman"/>
          <w:color w:val="000000" w:themeColor="text1"/>
          <w:sz w:val="16"/>
          <w:lang w:val="en-GB"/>
        </w:rPr>
      </w:pPr>
    </w:p>
    <w:sectPr w:rsidR="00BF53A3" w:rsidRPr="0014297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6EBF" w14:textId="77777777" w:rsidR="00510218" w:rsidRDefault="00510218">
      <w:pPr>
        <w:spacing w:after="0" w:line="240" w:lineRule="auto"/>
      </w:pPr>
      <w:r>
        <w:separator/>
      </w:r>
    </w:p>
  </w:endnote>
  <w:endnote w:type="continuationSeparator" w:id="0">
    <w:p w14:paraId="310D0A74" w14:textId="77777777" w:rsidR="00510218" w:rsidRDefault="0051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ilGi">
    <w:charset w:val="81"/>
    <w:family w:val="auto"/>
    <w:pitch w:val="variable"/>
    <w:sig w:usb0="900002E7" w:usb1="19D7FCFF" w:usb2="00000014"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F42E" w14:textId="77777777" w:rsidR="00510218" w:rsidRDefault="00510218">
      <w:pPr>
        <w:spacing w:after="0" w:line="240" w:lineRule="auto"/>
      </w:pPr>
      <w:r>
        <w:separator/>
      </w:r>
    </w:p>
  </w:footnote>
  <w:footnote w:type="continuationSeparator" w:id="0">
    <w:p w14:paraId="60BC0B78" w14:textId="77777777" w:rsidR="00510218" w:rsidRDefault="00510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37A1"/>
    <w:multiLevelType w:val="hybridMultilevel"/>
    <w:tmpl w:val="E9948668"/>
    <w:lvl w:ilvl="0" w:tplc="5B5095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DE4970"/>
    <w:multiLevelType w:val="hybridMultilevel"/>
    <w:tmpl w:val="13C4C3A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061034">
    <w:abstractNumId w:val="1"/>
  </w:num>
  <w:num w:numId="2" w16cid:durableId="9032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70"/>
    <w:rsid w:val="000029D9"/>
    <w:rsid w:val="00051C91"/>
    <w:rsid w:val="000539B2"/>
    <w:rsid w:val="000B2037"/>
    <w:rsid w:val="000B5797"/>
    <w:rsid w:val="000C24C2"/>
    <w:rsid w:val="001003D6"/>
    <w:rsid w:val="00100D88"/>
    <w:rsid w:val="00120000"/>
    <w:rsid w:val="00142417"/>
    <w:rsid w:val="00142979"/>
    <w:rsid w:val="001E362E"/>
    <w:rsid w:val="002367C8"/>
    <w:rsid w:val="002632F4"/>
    <w:rsid w:val="0029033B"/>
    <w:rsid w:val="002B477E"/>
    <w:rsid w:val="002D6C54"/>
    <w:rsid w:val="00301D68"/>
    <w:rsid w:val="003158AE"/>
    <w:rsid w:val="0037079C"/>
    <w:rsid w:val="003867CC"/>
    <w:rsid w:val="003A15C9"/>
    <w:rsid w:val="003B51E3"/>
    <w:rsid w:val="003D369C"/>
    <w:rsid w:val="00410962"/>
    <w:rsid w:val="0043653E"/>
    <w:rsid w:val="00476E1C"/>
    <w:rsid w:val="00492A71"/>
    <w:rsid w:val="004D1217"/>
    <w:rsid w:val="004D6008"/>
    <w:rsid w:val="00510218"/>
    <w:rsid w:val="00513F0C"/>
    <w:rsid w:val="0057532E"/>
    <w:rsid w:val="005856DB"/>
    <w:rsid w:val="006312FC"/>
    <w:rsid w:val="0065258E"/>
    <w:rsid w:val="006822CF"/>
    <w:rsid w:val="00696DF6"/>
    <w:rsid w:val="006C165B"/>
    <w:rsid w:val="006F1772"/>
    <w:rsid w:val="00700636"/>
    <w:rsid w:val="007126B8"/>
    <w:rsid w:val="00722E92"/>
    <w:rsid w:val="007376B2"/>
    <w:rsid w:val="00767F29"/>
    <w:rsid w:val="00777F58"/>
    <w:rsid w:val="007A6347"/>
    <w:rsid w:val="007C1A49"/>
    <w:rsid w:val="007D3876"/>
    <w:rsid w:val="008C2EC5"/>
    <w:rsid w:val="00900C43"/>
    <w:rsid w:val="00933556"/>
    <w:rsid w:val="00940DA2"/>
    <w:rsid w:val="00982E90"/>
    <w:rsid w:val="00A01C49"/>
    <w:rsid w:val="00A1388A"/>
    <w:rsid w:val="00A41BA6"/>
    <w:rsid w:val="00A56494"/>
    <w:rsid w:val="00B04B6B"/>
    <w:rsid w:val="00B06470"/>
    <w:rsid w:val="00B713F7"/>
    <w:rsid w:val="00B81042"/>
    <w:rsid w:val="00BC42D4"/>
    <w:rsid w:val="00BF53A3"/>
    <w:rsid w:val="00C23CD0"/>
    <w:rsid w:val="00C360D4"/>
    <w:rsid w:val="00C47480"/>
    <w:rsid w:val="00C74173"/>
    <w:rsid w:val="00C74177"/>
    <w:rsid w:val="00D26568"/>
    <w:rsid w:val="00D27A84"/>
    <w:rsid w:val="00D43107"/>
    <w:rsid w:val="00DB3D3D"/>
    <w:rsid w:val="00DD1886"/>
    <w:rsid w:val="00DF0A0A"/>
    <w:rsid w:val="00DF2786"/>
    <w:rsid w:val="00E25306"/>
    <w:rsid w:val="00E255BC"/>
    <w:rsid w:val="00F32A8A"/>
    <w:rsid w:val="00FA71B9"/>
    <w:rsid w:val="00FC3226"/>
    <w:rsid w:val="00FD45A1"/>
    <w:rsid w:val="00FE6084"/>
    <w:rsid w:val="00FE7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ED712"/>
  <w15:docId w15:val="{5A108796-E006-4EF4-BE15-1DB44D4B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42417"/>
    <w:pPr>
      <w:spacing w:after="200" w:line="276" w:lineRule="auto"/>
    </w:pPr>
    <w:rPr>
      <w:rFonts w:asciiTheme="minorHAnsi" w:eastAsiaTheme="minorHAnsi" w:hAnsiTheme="minorHAnsi" w:cstheme="minorBidi"/>
      <w:sz w:val="22"/>
    </w:rPr>
  </w:style>
  <w:style w:type="paragraph" w:styleId="Titolo1">
    <w:name w:val="heading 1"/>
    <w:next w:val="Titolo2"/>
    <w:qFormat/>
    <w:rsid w:val="00940DA2"/>
    <w:pPr>
      <w:spacing w:before="480" w:line="240" w:lineRule="exact"/>
      <w:ind w:left="284" w:hanging="284"/>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42417"/>
    <w:pPr>
      <w:spacing w:after="0" w:line="240" w:lineRule="auto"/>
    </w:pPr>
    <w:rPr>
      <w:rFonts w:ascii="Calibri" w:eastAsia="Calibri" w:hAnsi="Calibri" w:cs="Times New Roman"/>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pPr>
      <w:spacing w:line="220" w:lineRule="exact"/>
      <w:ind w:firstLine="284"/>
      <w:jc w:val="both"/>
    </w:pPr>
    <w:rPr>
      <w:rFonts w:ascii="Times" w:hAnsi="Times"/>
      <w:sz w:val="18"/>
    </w:rPr>
  </w:style>
  <w:style w:type="character" w:customStyle="1" w:styleId="TestonormaleCarattere">
    <w:name w:val="Testo normale Carattere"/>
    <w:basedOn w:val="Carpredefinitoparagrafo"/>
    <w:link w:val="Testonormale"/>
    <w:uiPriority w:val="99"/>
    <w:rsid w:val="00142417"/>
    <w:rPr>
      <w:rFonts w:ascii="Calibri" w:eastAsia="Calibri" w:hAnsi="Calibri"/>
      <w:sz w:val="22"/>
    </w:rPr>
  </w:style>
  <w:style w:type="paragraph" w:styleId="Paragrafoelenco">
    <w:name w:val="List Paragraph"/>
    <w:basedOn w:val="Normale"/>
    <w:uiPriority w:val="34"/>
    <w:qFormat/>
    <w:rsid w:val="00142417"/>
    <w:pPr>
      <w:ind w:left="720"/>
      <w:contextualSpacing/>
    </w:pPr>
  </w:style>
  <w:style w:type="paragraph" w:styleId="Testofumetto">
    <w:name w:val="Balloon Text"/>
    <w:basedOn w:val="Normale"/>
    <w:link w:val="TestofumettoCarattere"/>
    <w:semiHidden/>
    <w:unhideWhenUsed/>
    <w:rsid w:val="00120000"/>
    <w:pPr>
      <w:spacing w:after="0"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120000"/>
    <w:rPr>
      <w:rFonts w:ascii="Segoe UI" w:eastAsiaTheme="minorHAnsi" w:hAnsi="Segoe UI" w:cs="Segoe UI"/>
      <w:sz w:val="18"/>
    </w:rPr>
  </w:style>
  <w:style w:type="paragraph" w:customStyle="1" w:styleId="Default">
    <w:name w:val="Default"/>
    <w:rsid w:val="008C2EC5"/>
    <w:pPr>
      <w:autoSpaceDE w:val="0"/>
      <w:autoSpaceDN w:val="0"/>
      <w:adjustRightInd w:val="0"/>
    </w:pPr>
    <w:rPr>
      <w:rFonts w:ascii="Garamond" w:hAnsi="Garamond" w:cs="Garamond"/>
      <w:color w:val="000000"/>
      <w:sz w:val="24"/>
    </w:rPr>
  </w:style>
  <w:style w:type="paragraph" w:styleId="Intestazione">
    <w:name w:val="header"/>
    <w:basedOn w:val="Normale"/>
    <w:link w:val="IntestazioneCarattere"/>
    <w:uiPriority w:val="99"/>
    <w:unhideWhenUsed/>
    <w:rsid w:val="00492A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A71"/>
    <w:rPr>
      <w:rFonts w:asciiTheme="minorHAnsi" w:eastAsiaTheme="minorHAnsi" w:hAnsiTheme="minorHAnsi" w:cstheme="minorBidi"/>
      <w:sz w:val="22"/>
    </w:rPr>
  </w:style>
  <w:style w:type="paragraph" w:styleId="Pidipagina">
    <w:name w:val="footer"/>
    <w:basedOn w:val="Normale"/>
    <w:link w:val="PidipaginaCarattere"/>
    <w:unhideWhenUsed/>
    <w:rsid w:val="00492A7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92A71"/>
    <w:rPr>
      <w:rFonts w:asciiTheme="minorHAnsi" w:eastAsiaTheme="minorHAnsi" w:hAnsiTheme="minorHAnsi" w:cstheme="minorBidi"/>
      <w:sz w:val="22"/>
    </w:rPr>
  </w:style>
  <w:style w:type="character" w:styleId="Rimandocommento">
    <w:name w:val="annotation reference"/>
    <w:basedOn w:val="Carpredefinitoparagrafo"/>
    <w:semiHidden/>
    <w:unhideWhenUsed/>
    <w:rsid w:val="0065258E"/>
    <w:rPr>
      <w:sz w:val="16"/>
    </w:rPr>
  </w:style>
  <w:style w:type="paragraph" w:styleId="Testocommento">
    <w:name w:val="annotation text"/>
    <w:basedOn w:val="Normale"/>
    <w:link w:val="TestocommentoCarattere"/>
    <w:semiHidden/>
    <w:unhideWhenUsed/>
    <w:rsid w:val="0065258E"/>
    <w:pPr>
      <w:spacing w:line="240" w:lineRule="auto"/>
    </w:pPr>
    <w:rPr>
      <w:sz w:val="20"/>
    </w:rPr>
  </w:style>
  <w:style w:type="character" w:customStyle="1" w:styleId="TestocommentoCarattere">
    <w:name w:val="Testo commento Carattere"/>
    <w:basedOn w:val="Carpredefinitoparagrafo"/>
    <w:link w:val="Testocommento"/>
    <w:semiHidden/>
    <w:rsid w:val="0065258E"/>
    <w:rPr>
      <w:rFonts w:asciiTheme="minorHAnsi" w:eastAsiaTheme="minorHAnsi" w:hAnsiTheme="minorHAnsi" w:cstheme="minorBidi"/>
    </w:rPr>
  </w:style>
  <w:style w:type="paragraph" w:styleId="Soggettocommento">
    <w:name w:val="annotation subject"/>
    <w:basedOn w:val="Testocommento"/>
    <w:next w:val="Testocommento"/>
    <w:link w:val="SoggettocommentoCarattere"/>
    <w:semiHidden/>
    <w:unhideWhenUsed/>
    <w:rsid w:val="0065258E"/>
    <w:rPr>
      <w:b/>
    </w:rPr>
  </w:style>
  <w:style w:type="character" w:customStyle="1" w:styleId="SoggettocommentoCarattere">
    <w:name w:val="Soggetto commento Carattere"/>
    <w:basedOn w:val="TestocommentoCarattere"/>
    <w:link w:val="Soggettocommento"/>
    <w:semiHidden/>
    <w:rsid w:val="0065258E"/>
    <w:rPr>
      <w:rFonts w:asciiTheme="minorHAnsi" w:eastAsiaTheme="minorHAnsi" w:hAnsiTheme="minorHAnsi" w:cstheme="minorBidi"/>
      <w:b/>
    </w:rPr>
  </w:style>
  <w:style w:type="character" w:customStyle="1" w:styleId="Testo2Carattere">
    <w:name w:val="Testo 2 Carattere"/>
    <w:link w:val="Testo2"/>
    <w:locked/>
    <w:rsid w:val="007A6347"/>
    <w:rPr>
      <w:rFonts w:ascii="Times" w:hAnsi="Times"/>
      <w:sz w:val="18"/>
    </w:rPr>
  </w:style>
  <w:style w:type="paragraph" w:customStyle="1" w:styleId="P68B1DB1-Normale1">
    <w:name w:val="P68B1DB1-Normale1"/>
    <w:basedOn w:val="Normale"/>
    <w:rPr>
      <w:rFonts w:ascii="Times New Roman" w:hAnsi="Times New Roman" w:cs="Times New Roman"/>
      <w:b/>
      <w:i/>
      <w:color w:val="000000" w:themeColor="text1"/>
      <w:sz w:val="18"/>
    </w:rPr>
  </w:style>
  <w:style w:type="paragraph" w:customStyle="1" w:styleId="P68B1DB1-Normale2">
    <w:name w:val="P68B1DB1-Normale2"/>
    <w:basedOn w:val="Normale"/>
    <w:rPr>
      <w:rFonts w:ascii="Times New Roman" w:hAnsi="Times New Roman" w:cs="Times New Roman"/>
      <w:color w:val="000000" w:themeColor="text1"/>
      <w:sz w:val="20"/>
    </w:rPr>
  </w:style>
  <w:style w:type="paragraph" w:customStyle="1" w:styleId="P68B1DB1-Testo13">
    <w:name w:val="P68B1DB1-Testo13"/>
    <w:basedOn w:val="Testo1"/>
    <w:rPr>
      <w:rFonts w:eastAsia="PilGi"/>
    </w:rPr>
  </w:style>
  <w:style w:type="paragraph" w:customStyle="1" w:styleId="P68B1DB1-Normale4">
    <w:name w:val="P68B1DB1-Normale4"/>
    <w:basedOn w:val="Normale"/>
    <w:rPr>
      <w:rFonts w:ascii="Times New Roman" w:eastAsia="Times New Roman" w:hAnsi="Times New Roman" w:cs="Times New Roman"/>
      <w:color w:val="000000" w:themeColor="text1"/>
      <w:sz w:val="18"/>
    </w:rPr>
  </w:style>
  <w:style w:type="paragraph" w:customStyle="1" w:styleId="P68B1DB1-Testo25">
    <w:name w:val="P68B1DB1-Testo25"/>
    <w:basedOn w:val="Testo2"/>
    <w:rPr>
      <w:rFonts w:ascii="Times New Roman" w:hAnsi="Times New Roman"/>
      <w:color w:val="000000" w:themeColor="text1"/>
    </w:rPr>
  </w:style>
  <w:style w:type="paragraph" w:customStyle="1" w:styleId="P68B1DB1-Normale6">
    <w:name w:val="P68B1DB1-Normale6"/>
    <w:basedOn w:val="Normale"/>
    <w:rPr>
      <w:rFonts w:ascii="Times New Roman" w:hAnsi="Times New Roman" w:cs="Times New Roman"/>
      <w:i/>
      <w:sz w:val="18"/>
    </w:rPr>
  </w:style>
  <w:style w:type="paragraph" w:customStyle="1" w:styleId="s17">
    <w:name w:val="s17"/>
    <w:basedOn w:val="Normale"/>
    <w:rsid w:val="007C1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Carpredefinitoparagrafo"/>
    <w:rsid w:val="007C1A49"/>
  </w:style>
  <w:style w:type="paragraph" w:customStyle="1" w:styleId="P68B1DB1-Normale3">
    <w:name w:val="P68B1DB1-Normale3"/>
    <w:basedOn w:val="Normale"/>
    <w:rsid w:val="00513F0C"/>
    <w:pPr>
      <w:tabs>
        <w:tab w:val="left" w:pos="284"/>
      </w:tabs>
      <w:spacing w:after="0" w:line="240" w:lineRule="exact"/>
      <w:jc w:val="both"/>
    </w:pPr>
    <w:rPr>
      <w:rFonts w:ascii="Times" w:eastAsia="Times New Roman" w:hAnsi="Times" w:cs="Times New Roman"/>
      <w:sz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17862">
      <w:bodyDiv w:val="1"/>
      <w:marLeft w:val="0"/>
      <w:marRight w:val="0"/>
      <w:marTop w:val="0"/>
      <w:marBottom w:val="0"/>
      <w:divBdr>
        <w:top w:val="none" w:sz="0" w:space="0" w:color="auto"/>
        <w:left w:val="none" w:sz="0" w:space="0" w:color="auto"/>
        <w:bottom w:val="none" w:sz="0" w:space="0" w:color="auto"/>
        <w:right w:val="none" w:sz="0" w:space="0" w:color="auto"/>
      </w:divBdr>
    </w:div>
    <w:div w:id="11717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616</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2019-04-30T06:37:00Z</cp:lastPrinted>
  <dcterms:created xsi:type="dcterms:W3CDTF">2023-06-15T12:57:00Z</dcterms:created>
  <dcterms:modified xsi:type="dcterms:W3CDTF">2024-01-08T10:47:00Z</dcterms:modified>
</cp:coreProperties>
</file>