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2B4C" w14:textId="77777777" w:rsidR="001F19DD" w:rsidRPr="00E76C12" w:rsidRDefault="00562F42" w:rsidP="00E76C12">
      <w:pPr>
        <w:pStyle w:val="Titolo1"/>
        <w:rPr>
          <w:sz w:val="20"/>
        </w:rPr>
      </w:pPr>
      <w:r w:rsidRPr="00E76C12">
        <w:rPr>
          <w:sz w:val="20"/>
        </w:rPr>
        <w:t>Computational philology and digital editing</w:t>
      </w:r>
    </w:p>
    <w:p w14:paraId="2A8CDFE6" w14:textId="6E178535" w:rsidR="001F19DD" w:rsidRPr="00E76C12" w:rsidRDefault="00562F42" w:rsidP="00E76C12">
      <w:pPr>
        <w:pStyle w:val="Titolo2"/>
        <w:rPr>
          <w:sz w:val="18"/>
          <w:szCs w:val="18"/>
        </w:rPr>
      </w:pPr>
      <w:r w:rsidRPr="00E76C12">
        <w:rPr>
          <w:sz w:val="18"/>
          <w:szCs w:val="18"/>
        </w:rPr>
        <w:t xml:space="preserve">Prof. Guido Milanese </w:t>
      </w:r>
    </w:p>
    <w:p w14:paraId="4A15096F" w14:textId="77777777" w:rsidR="001F19DD" w:rsidRPr="00E76C12" w:rsidRDefault="00562F42" w:rsidP="00E76C12">
      <w:pPr>
        <w:pStyle w:val="Titolo2"/>
        <w:spacing w:before="120"/>
        <w:rPr>
          <w:sz w:val="20"/>
        </w:rPr>
      </w:pPr>
      <w:r w:rsidRPr="00E76C12">
        <w:rPr>
          <w:sz w:val="20"/>
        </w:rPr>
        <w:t>Module 1: From computational philology to digital editing (Prof. Guido Milanese)</w:t>
      </w:r>
    </w:p>
    <w:p w14:paraId="4C54C698" w14:textId="77777777" w:rsidR="00E76C12" w:rsidRPr="00514034" w:rsidRDefault="00E76C12" w:rsidP="00E76C1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F572E8D" w14:textId="77777777" w:rsidR="001F19DD" w:rsidRPr="00E76C12" w:rsidRDefault="00562F42">
      <w:pPr>
        <w:pStyle w:val="DidefaultA"/>
        <w:rPr>
          <w:sz w:val="20"/>
          <w:szCs w:val="20"/>
        </w:rPr>
      </w:pPr>
      <w:r w:rsidRPr="00E76C12">
        <w:rPr>
          <w:sz w:val="20"/>
          <w:szCs w:val="20"/>
        </w:rPr>
        <w:t xml:space="preserve">Computational philology (textual criticism) has been heavily criticized by not a few important specialists of this area. We will concentrate on the seminal idea of “text </w:t>
      </w:r>
      <w:proofErr w:type="spellStart"/>
      <w:r w:rsidRPr="00E76C12">
        <w:rPr>
          <w:sz w:val="20"/>
          <w:szCs w:val="20"/>
        </w:rPr>
        <w:t>encoding”to</w:t>
      </w:r>
      <w:proofErr w:type="spellEnd"/>
      <w:r w:rsidRPr="00E76C12">
        <w:rPr>
          <w:sz w:val="20"/>
          <w:szCs w:val="20"/>
        </w:rPr>
        <w:t xml:space="preserve"> show that the failure of serious attempts of producing critical texts through a computational workflow is basically due to a lack of a serious methodology. If the scholar </w:t>
      </w:r>
      <w:proofErr w:type="gramStart"/>
      <w:r w:rsidRPr="00E76C12">
        <w:rPr>
          <w:sz w:val="20"/>
          <w:szCs w:val="20"/>
        </w:rPr>
        <w:t>is able to</w:t>
      </w:r>
      <w:proofErr w:type="gramEnd"/>
      <w:r w:rsidRPr="00E76C12">
        <w:rPr>
          <w:sz w:val="20"/>
          <w:szCs w:val="20"/>
        </w:rPr>
        <w:t xml:space="preserve"> choose a suitable text encoding, which will be different according to text typologies, a reliable witnesses comparison becomes not only possible, but also much more trustworthy than a manual </w:t>
      </w:r>
      <w:proofErr w:type="spellStart"/>
      <w:r w:rsidRPr="00E76C12">
        <w:rPr>
          <w:i/>
          <w:iCs/>
          <w:sz w:val="20"/>
          <w:szCs w:val="20"/>
        </w:rPr>
        <w:t>collatio</w:t>
      </w:r>
      <w:proofErr w:type="spellEnd"/>
      <w:r w:rsidRPr="00E76C12">
        <w:rPr>
          <w:sz w:val="20"/>
          <w:szCs w:val="20"/>
        </w:rPr>
        <w:t>. Digital scholarly publishing is rooted on the same basic idea: a serious encoding of a text makes the approach to a digital edition not a patchwork of causal procedures, but a clear and transparent methodology, that can be used and reused according to the needs of different texts and scholarly areas.</w:t>
      </w:r>
    </w:p>
    <w:p w14:paraId="0EA19F3B" w14:textId="77777777" w:rsidR="001F19DD" w:rsidRPr="00E76C12" w:rsidRDefault="00562F42">
      <w:pPr>
        <w:pStyle w:val="DidefaultA"/>
        <w:rPr>
          <w:sz w:val="20"/>
          <w:szCs w:val="20"/>
        </w:rPr>
      </w:pPr>
      <w:r w:rsidRPr="00E76C12">
        <w:rPr>
          <w:sz w:val="20"/>
          <w:szCs w:val="20"/>
        </w:rPr>
        <w:t>At the end of this module, students are expected to be able to:</w:t>
      </w:r>
    </w:p>
    <w:p w14:paraId="69666343" w14:textId="77777777" w:rsidR="001F19DD" w:rsidRPr="00E76C12" w:rsidRDefault="00562F42">
      <w:pPr>
        <w:pStyle w:val="DidefaultA"/>
        <w:numPr>
          <w:ilvl w:val="0"/>
          <w:numId w:val="6"/>
        </w:numPr>
        <w:rPr>
          <w:sz w:val="20"/>
          <w:szCs w:val="20"/>
        </w:rPr>
      </w:pPr>
      <w:r w:rsidRPr="00E76C12">
        <w:rPr>
          <w:sz w:val="20"/>
          <w:szCs w:val="20"/>
        </w:rPr>
        <w:t xml:space="preserve">dress a workflow to study a particular text, its variants and (in certain cases) its textual </w:t>
      </w:r>
      <w:proofErr w:type="gramStart"/>
      <w:r w:rsidRPr="00E76C12">
        <w:rPr>
          <w:sz w:val="20"/>
          <w:szCs w:val="20"/>
        </w:rPr>
        <w:t>transmission;</w:t>
      </w:r>
      <w:proofErr w:type="gramEnd"/>
    </w:p>
    <w:p w14:paraId="17FAF076" w14:textId="77777777" w:rsidR="001F19DD" w:rsidRPr="00E76C12" w:rsidRDefault="00562F42">
      <w:pPr>
        <w:pStyle w:val="DidefaultA"/>
        <w:numPr>
          <w:ilvl w:val="0"/>
          <w:numId w:val="6"/>
        </w:numPr>
        <w:rPr>
          <w:sz w:val="20"/>
          <w:szCs w:val="20"/>
        </w:rPr>
      </w:pPr>
      <w:r w:rsidRPr="00E76C12">
        <w:rPr>
          <w:sz w:val="20"/>
          <w:szCs w:val="20"/>
        </w:rPr>
        <w:t>dress a workflow to prepare a digital edition of texts belonging to different textual typologies.</w:t>
      </w:r>
    </w:p>
    <w:p w14:paraId="5B9E0C03" w14:textId="77777777" w:rsidR="00E76C12" w:rsidRPr="00E76C12" w:rsidRDefault="00E76C12" w:rsidP="00E76C12">
      <w:pPr>
        <w:spacing w:before="240" w:after="120"/>
        <w:rPr>
          <w:b/>
          <w:i/>
          <w:sz w:val="18"/>
          <w:lang w:val="en-US"/>
        </w:rPr>
      </w:pPr>
      <w:r w:rsidRPr="00E76C12">
        <w:rPr>
          <w:b/>
          <w:i/>
          <w:sz w:val="18"/>
          <w:lang w:val="en-US"/>
        </w:rPr>
        <w:t>COURSE CONTENT</w:t>
      </w:r>
    </w:p>
    <w:p w14:paraId="210B12F1" w14:textId="77777777" w:rsidR="001F19DD" w:rsidRPr="00E76C12" w:rsidRDefault="00562F42">
      <w:pPr>
        <w:numPr>
          <w:ilvl w:val="0"/>
          <w:numId w:val="7"/>
        </w:numPr>
        <w:rPr>
          <w:sz w:val="20"/>
          <w:szCs w:val="20"/>
        </w:rPr>
      </w:pPr>
      <w:r w:rsidRPr="00E76C12">
        <w:rPr>
          <w:sz w:val="20"/>
          <w:szCs w:val="20"/>
        </w:rPr>
        <w:t>Textual criticism: a general introduction</w:t>
      </w:r>
    </w:p>
    <w:p w14:paraId="40E26D16" w14:textId="77777777" w:rsidR="001F19DD" w:rsidRPr="00E76C12" w:rsidRDefault="00562F42">
      <w:pPr>
        <w:numPr>
          <w:ilvl w:val="0"/>
          <w:numId w:val="7"/>
        </w:numPr>
        <w:rPr>
          <w:sz w:val="20"/>
          <w:szCs w:val="20"/>
        </w:rPr>
      </w:pPr>
      <w:r w:rsidRPr="00E76C12">
        <w:rPr>
          <w:sz w:val="20"/>
          <w:szCs w:val="20"/>
        </w:rPr>
        <w:t>Digital “philology” (textual criticism): failures and successes</w:t>
      </w:r>
    </w:p>
    <w:p w14:paraId="497FAE0C" w14:textId="77777777" w:rsidR="001F19DD" w:rsidRPr="00E76C12" w:rsidRDefault="00562F42">
      <w:pPr>
        <w:numPr>
          <w:ilvl w:val="0"/>
          <w:numId w:val="7"/>
        </w:numPr>
        <w:rPr>
          <w:sz w:val="20"/>
          <w:szCs w:val="20"/>
        </w:rPr>
      </w:pPr>
      <w:r w:rsidRPr="00E76C12">
        <w:rPr>
          <w:sz w:val="20"/>
          <w:szCs w:val="20"/>
        </w:rPr>
        <w:t>Text encoding as a key to a successful procedure</w:t>
      </w:r>
    </w:p>
    <w:p w14:paraId="4244E005" w14:textId="77777777" w:rsidR="001F19DD" w:rsidRDefault="00562F42">
      <w:pPr>
        <w:numPr>
          <w:ilvl w:val="0"/>
          <w:numId w:val="7"/>
        </w:numPr>
        <w:rPr>
          <w:sz w:val="22"/>
          <w:szCs w:val="22"/>
        </w:rPr>
      </w:pPr>
      <w:r w:rsidRPr="00E76C12">
        <w:rPr>
          <w:sz w:val="20"/>
          <w:szCs w:val="20"/>
        </w:rPr>
        <w:t>Digital editions: from patchworks to replicable procedure</w:t>
      </w:r>
      <w:r>
        <w:rPr>
          <w:sz w:val="22"/>
          <w:szCs w:val="22"/>
        </w:rPr>
        <w:t>s</w:t>
      </w:r>
    </w:p>
    <w:p w14:paraId="36C8AFF0" w14:textId="77777777" w:rsidR="00E76C12" w:rsidRPr="00E76C12" w:rsidRDefault="00E76C12" w:rsidP="00E76C12">
      <w:pPr>
        <w:spacing w:before="240" w:after="120"/>
        <w:rPr>
          <w:b/>
          <w:i/>
          <w:sz w:val="18"/>
          <w:lang w:val="en-US"/>
        </w:rPr>
      </w:pPr>
      <w:r w:rsidRPr="00E76C12">
        <w:rPr>
          <w:b/>
          <w:i/>
          <w:sz w:val="18"/>
          <w:lang w:val="en-US"/>
        </w:rPr>
        <w:t>READING LIST</w:t>
      </w:r>
    </w:p>
    <w:p w14:paraId="758B3056" w14:textId="77777777" w:rsidR="001F19DD" w:rsidRPr="00E76C12" w:rsidRDefault="00562F42" w:rsidP="00E76C12">
      <w:pPr>
        <w:pStyle w:val="Testo1"/>
      </w:pPr>
      <w:r w:rsidRPr="00E76C12">
        <w:t>A selection of the most important contributions (from Quentin to Reeve) will be made available on Blackboard.</w:t>
      </w:r>
    </w:p>
    <w:p w14:paraId="1398F1BD" w14:textId="77777777" w:rsidR="00AC5318" w:rsidRPr="00E76C12" w:rsidRDefault="00562F42" w:rsidP="00AC5318">
      <w:pPr>
        <w:pStyle w:val="Titolo2"/>
        <w:spacing w:before="120"/>
        <w:rPr>
          <w:sz w:val="20"/>
        </w:rPr>
      </w:pPr>
      <w:r w:rsidRPr="00E76C12">
        <w:rPr>
          <w:sz w:val="20"/>
        </w:rPr>
        <w:t xml:space="preserve">Module 2: Authorship Attribution </w:t>
      </w:r>
      <w:r w:rsidR="00AC5318" w:rsidRPr="00E76C12">
        <w:rPr>
          <w:sz w:val="20"/>
        </w:rPr>
        <w:t>(Prof. Guido Milanese)</w:t>
      </w:r>
    </w:p>
    <w:p w14:paraId="1A6ED6D5" w14:textId="77777777" w:rsidR="00E76C12" w:rsidRPr="00514034" w:rsidRDefault="00E76C12" w:rsidP="00E76C1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5608ADE" w14:textId="77777777" w:rsidR="001F19DD" w:rsidRPr="00AC5318" w:rsidRDefault="00562F42" w:rsidP="00E76C12">
      <w:pPr>
        <w:jc w:val="both"/>
        <w:rPr>
          <w:sz w:val="20"/>
          <w:szCs w:val="20"/>
        </w:rPr>
      </w:pPr>
      <w:r w:rsidRPr="00AC5318">
        <w:rPr>
          <w:sz w:val="20"/>
          <w:szCs w:val="20"/>
        </w:rPr>
        <w:lastRenderedPageBreak/>
        <w:t xml:space="preserve">The aim of the first part of the course is to present an overview of authorship attribution studies, tracing their development (from the 3rd century BC to the 21st AD) and focusing on the contribution of the disciplines involved. Through the diachronic presentation of paradigmatic case studies, the course aims to provide students with the theoretical background necessary to deal with the challenges posed by the above-mentioned studies. The second part of the course aims to provide students with the methodological background and the basic computational skills needed to carry out authorship attribution investigations. </w:t>
      </w:r>
    </w:p>
    <w:p w14:paraId="33BC27C3" w14:textId="77777777" w:rsidR="001F19DD" w:rsidRPr="00AC5318" w:rsidRDefault="00562F42" w:rsidP="00E76C12">
      <w:pPr>
        <w:jc w:val="both"/>
        <w:rPr>
          <w:sz w:val="20"/>
          <w:szCs w:val="20"/>
        </w:rPr>
      </w:pPr>
      <w:r w:rsidRPr="00AC5318">
        <w:rPr>
          <w:sz w:val="20"/>
          <w:szCs w:val="20"/>
        </w:rPr>
        <w:t>At the end of the course, students will be able to:</w:t>
      </w:r>
    </w:p>
    <w:p w14:paraId="544E37C2" w14:textId="77777777" w:rsidR="001F19DD" w:rsidRPr="00AC5318" w:rsidRDefault="00562F42" w:rsidP="00E76C12">
      <w:pPr>
        <w:jc w:val="both"/>
        <w:rPr>
          <w:sz w:val="20"/>
          <w:szCs w:val="20"/>
        </w:rPr>
      </w:pPr>
      <w:r w:rsidRPr="00AC5318">
        <w:rPr>
          <w:sz w:val="20"/>
          <w:szCs w:val="20"/>
        </w:rPr>
        <w:t>Understand the relationship between the different disciplines involved in authorship attribution studies.</w:t>
      </w:r>
    </w:p>
    <w:p w14:paraId="57BDF819" w14:textId="77777777" w:rsidR="001F19DD" w:rsidRPr="00AC5318" w:rsidRDefault="00562F42" w:rsidP="00E76C12">
      <w:pPr>
        <w:jc w:val="both"/>
        <w:rPr>
          <w:sz w:val="20"/>
          <w:szCs w:val="20"/>
        </w:rPr>
      </w:pPr>
      <w:r w:rsidRPr="00AC5318">
        <w:rPr>
          <w:sz w:val="20"/>
          <w:szCs w:val="20"/>
        </w:rPr>
        <w:t>Identify the right methodology and tools and evaluate critically how to apply them.</w:t>
      </w:r>
    </w:p>
    <w:p w14:paraId="05604A47" w14:textId="77777777" w:rsidR="00E76C12" w:rsidRPr="00E76C12" w:rsidRDefault="00E76C12" w:rsidP="00E76C12">
      <w:pPr>
        <w:spacing w:before="240" w:after="120"/>
        <w:rPr>
          <w:b/>
          <w:i/>
          <w:sz w:val="18"/>
          <w:lang w:val="en-US"/>
        </w:rPr>
      </w:pPr>
      <w:r w:rsidRPr="00E76C12">
        <w:rPr>
          <w:b/>
          <w:i/>
          <w:sz w:val="18"/>
          <w:lang w:val="en-US"/>
        </w:rPr>
        <w:t>COURSE CONTENT</w:t>
      </w:r>
    </w:p>
    <w:p w14:paraId="15C19FFC" w14:textId="77777777" w:rsidR="001F19DD" w:rsidRPr="00AC5318" w:rsidRDefault="00562F42">
      <w:pPr>
        <w:widowControl w:val="0"/>
        <w:numPr>
          <w:ilvl w:val="0"/>
          <w:numId w:val="3"/>
        </w:numPr>
        <w:spacing w:line="276" w:lineRule="auto"/>
        <w:rPr>
          <w:sz w:val="20"/>
          <w:szCs w:val="20"/>
        </w:rPr>
      </w:pPr>
      <w:r w:rsidRPr="00AC5318">
        <w:rPr>
          <w:sz w:val="20"/>
          <w:szCs w:val="20"/>
        </w:rPr>
        <w:t>Theoretical introduction to authorship attribution studies</w:t>
      </w:r>
    </w:p>
    <w:p w14:paraId="4023359A" w14:textId="77777777" w:rsidR="001F19DD" w:rsidRPr="00AC5318" w:rsidRDefault="00562F42" w:rsidP="00E76C12">
      <w:pPr>
        <w:widowControl w:val="0"/>
        <w:spacing w:line="276" w:lineRule="auto"/>
        <w:ind w:left="708"/>
        <w:rPr>
          <w:sz w:val="20"/>
          <w:szCs w:val="20"/>
        </w:rPr>
      </w:pPr>
      <w:r w:rsidRPr="00AC5318">
        <w:rPr>
          <w:sz w:val="20"/>
          <w:szCs w:val="20"/>
        </w:rPr>
        <w:t>Hellenistic and classical age.</w:t>
      </w:r>
    </w:p>
    <w:p w14:paraId="21CC317C" w14:textId="77777777" w:rsidR="001F19DD" w:rsidRPr="00AC5318" w:rsidRDefault="00562F42" w:rsidP="00E76C12">
      <w:pPr>
        <w:widowControl w:val="0"/>
        <w:spacing w:line="276" w:lineRule="auto"/>
        <w:ind w:left="708"/>
        <w:rPr>
          <w:sz w:val="20"/>
          <w:szCs w:val="20"/>
        </w:rPr>
      </w:pPr>
      <w:r w:rsidRPr="00AC5318">
        <w:rPr>
          <w:sz w:val="20"/>
          <w:szCs w:val="20"/>
        </w:rPr>
        <w:t>Middle Ages.</w:t>
      </w:r>
    </w:p>
    <w:p w14:paraId="31932209" w14:textId="77777777" w:rsidR="001F19DD" w:rsidRPr="00AC5318" w:rsidRDefault="00562F42" w:rsidP="00E76C12">
      <w:pPr>
        <w:widowControl w:val="0"/>
        <w:spacing w:line="276" w:lineRule="auto"/>
        <w:ind w:left="708"/>
        <w:rPr>
          <w:sz w:val="20"/>
          <w:szCs w:val="20"/>
        </w:rPr>
      </w:pPr>
      <w:r w:rsidRPr="00AC5318">
        <w:rPr>
          <w:sz w:val="20"/>
          <w:szCs w:val="20"/>
        </w:rPr>
        <w:t>Modern age.</w:t>
      </w:r>
    </w:p>
    <w:p w14:paraId="748D91C0" w14:textId="77777777" w:rsidR="001F19DD" w:rsidRPr="00AC5318" w:rsidRDefault="00562F42" w:rsidP="00E76C12">
      <w:pPr>
        <w:widowControl w:val="0"/>
        <w:spacing w:line="276" w:lineRule="auto"/>
        <w:ind w:left="708"/>
        <w:rPr>
          <w:sz w:val="20"/>
          <w:szCs w:val="20"/>
        </w:rPr>
      </w:pPr>
      <w:r w:rsidRPr="00AC5318">
        <w:rPr>
          <w:sz w:val="20"/>
          <w:szCs w:val="20"/>
        </w:rPr>
        <w:t xml:space="preserve">Contemporary age (e.g., Giuseppe </w:t>
      </w:r>
      <w:proofErr w:type="spellStart"/>
      <w:r w:rsidRPr="00AC5318">
        <w:rPr>
          <w:sz w:val="20"/>
          <w:szCs w:val="20"/>
        </w:rPr>
        <w:t>Gigliozzi</w:t>
      </w:r>
      <w:proofErr w:type="spellEnd"/>
      <w:r w:rsidRPr="00AC5318">
        <w:rPr>
          <w:sz w:val="20"/>
          <w:szCs w:val="20"/>
        </w:rPr>
        <w:t xml:space="preserve">, Maurizio Lana, Jan Rybicki, Maciej Eder, and Mike </w:t>
      </w:r>
      <w:proofErr w:type="spellStart"/>
      <w:r w:rsidRPr="00AC5318">
        <w:rPr>
          <w:sz w:val="20"/>
          <w:szCs w:val="20"/>
        </w:rPr>
        <w:t>Kestemont</w:t>
      </w:r>
      <w:proofErr w:type="spellEnd"/>
      <w:r w:rsidRPr="00AC5318">
        <w:rPr>
          <w:sz w:val="20"/>
          <w:szCs w:val="20"/>
        </w:rPr>
        <w:t>).</w:t>
      </w:r>
    </w:p>
    <w:p w14:paraId="761D74D3" w14:textId="77777777" w:rsidR="001F19DD" w:rsidRPr="00AC5318" w:rsidRDefault="00562F42">
      <w:pPr>
        <w:pStyle w:val="Paragrafoelenco"/>
        <w:widowControl w:val="0"/>
        <w:spacing w:line="276" w:lineRule="auto"/>
        <w:ind w:left="0"/>
      </w:pPr>
      <w:r w:rsidRPr="00AC5318">
        <w:rPr>
          <w:rFonts w:ascii="Times New Roman" w:hAnsi="Times New Roman" w:cs="Times New Roman"/>
        </w:rPr>
        <w:t>2. Methodological introduction to authorship attribution studies</w:t>
      </w:r>
    </w:p>
    <w:p w14:paraId="6317A914" w14:textId="77777777" w:rsidR="001F19DD" w:rsidRPr="00AC5318" w:rsidRDefault="00562F42" w:rsidP="00E76C12">
      <w:pPr>
        <w:widowControl w:val="0"/>
        <w:spacing w:line="276" w:lineRule="auto"/>
        <w:ind w:left="708"/>
        <w:rPr>
          <w:sz w:val="20"/>
          <w:szCs w:val="20"/>
        </w:rPr>
      </w:pPr>
      <w:r w:rsidRPr="00AC5318">
        <w:rPr>
          <w:sz w:val="20"/>
          <w:szCs w:val="20"/>
        </w:rPr>
        <w:t>Digitising and digitised texts.</w:t>
      </w:r>
    </w:p>
    <w:p w14:paraId="1DBE49CC" w14:textId="77777777" w:rsidR="001F19DD" w:rsidRPr="00AC5318" w:rsidRDefault="00562F42" w:rsidP="00E76C12">
      <w:pPr>
        <w:widowControl w:val="0"/>
        <w:spacing w:line="276" w:lineRule="auto"/>
        <w:ind w:left="708"/>
        <w:rPr>
          <w:sz w:val="20"/>
          <w:szCs w:val="20"/>
        </w:rPr>
      </w:pPr>
      <w:r w:rsidRPr="00AC5318">
        <w:rPr>
          <w:sz w:val="20"/>
          <w:szCs w:val="20"/>
        </w:rPr>
        <w:t>Pre-processing texts.</w:t>
      </w:r>
    </w:p>
    <w:p w14:paraId="2821CF4F" w14:textId="77777777" w:rsidR="001F19DD" w:rsidRPr="00AC5318" w:rsidRDefault="00562F42" w:rsidP="00E76C12">
      <w:pPr>
        <w:widowControl w:val="0"/>
        <w:spacing w:line="276" w:lineRule="auto"/>
        <w:ind w:left="708"/>
        <w:rPr>
          <w:sz w:val="20"/>
          <w:szCs w:val="20"/>
        </w:rPr>
      </w:pPr>
      <w:r w:rsidRPr="00AC5318">
        <w:rPr>
          <w:sz w:val="20"/>
          <w:szCs w:val="20"/>
        </w:rPr>
        <w:t>Methods and tools for authorship attribution analyses.</w:t>
      </w:r>
    </w:p>
    <w:p w14:paraId="39998265" w14:textId="77777777" w:rsidR="00E76C12" w:rsidRPr="00514034" w:rsidRDefault="00E76C12" w:rsidP="00E76C12">
      <w:pPr>
        <w:spacing w:before="240" w:after="120"/>
        <w:rPr>
          <w:b/>
          <w:i/>
          <w:sz w:val="18"/>
          <w:lang w:val="en-US"/>
        </w:rPr>
      </w:pPr>
      <w:r w:rsidRPr="00514034">
        <w:rPr>
          <w:b/>
          <w:i/>
          <w:sz w:val="18"/>
          <w:lang w:val="en-US"/>
        </w:rPr>
        <w:t>READING LIST</w:t>
      </w:r>
    </w:p>
    <w:p w14:paraId="022B69C3" w14:textId="77777777" w:rsidR="001F19DD" w:rsidRDefault="00562F42" w:rsidP="00E76C12">
      <w:pPr>
        <w:pStyle w:val="Testo2"/>
      </w:pPr>
      <w:r>
        <w:t>Lecture notes will be published on Backboard.</w:t>
      </w:r>
    </w:p>
    <w:p w14:paraId="704FA8B6" w14:textId="77777777" w:rsidR="00E76C12" w:rsidRPr="00514034" w:rsidRDefault="00E76C12" w:rsidP="00E76C12">
      <w:pPr>
        <w:spacing w:before="240" w:after="120" w:line="220" w:lineRule="exact"/>
        <w:rPr>
          <w:b/>
          <w:i/>
          <w:sz w:val="18"/>
          <w:lang w:val="en-US"/>
        </w:rPr>
      </w:pPr>
      <w:r w:rsidRPr="00514034">
        <w:rPr>
          <w:b/>
          <w:i/>
          <w:sz w:val="18"/>
          <w:lang w:val="en-US"/>
        </w:rPr>
        <w:t>TEACHING METHOD</w:t>
      </w:r>
    </w:p>
    <w:p w14:paraId="56851D4E" w14:textId="4B6D1866" w:rsidR="001F19DD" w:rsidRPr="00E76C12" w:rsidRDefault="00E76C12" w:rsidP="00E76C12">
      <w:pPr>
        <w:pStyle w:val="Testo2"/>
        <w:rPr>
          <w:smallCaps/>
        </w:rPr>
      </w:pPr>
      <w:r w:rsidRPr="00E76C12">
        <w:rPr>
          <w:smallCaps/>
        </w:rPr>
        <w:t>B</w:t>
      </w:r>
      <w:r w:rsidR="00562F42" w:rsidRPr="00E76C12">
        <w:rPr>
          <w:smallCaps/>
        </w:rPr>
        <w:t>oth modules</w:t>
      </w:r>
    </w:p>
    <w:p w14:paraId="4BC20D68" w14:textId="77777777" w:rsidR="001F19DD" w:rsidRDefault="00562F42" w:rsidP="00E76C12">
      <w:pPr>
        <w:pStyle w:val="Testo2"/>
      </w:pPr>
      <w:r>
        <w:t>Online lectures and practical exercises. All teaching materials used during the lectures will be available on Blackboard.</w:t>
      </w:r>
    </w:p>
    <w:p w14:paraId="787481C5" w14:textId="77777777" w:rsidR="00E76C12" w:rsidRPr="00906645" w:rsidRDefault="00E76C12" w:rsidP="00E76C12">
      <w:pPr>
        <w:spacing w:before="240" w:after="120" w:line="220" w:lineRule="exact"/>
        <w:rPr>
          <w:b/>
          <w:i/>
          <w:sz w:val="18"/>
          <w:lang w:val="en-US"/>
        </w:rPr>
      </w:pPr>
      <w:r w:rsidRPr="00906645">
        <w:rPr>
          <w:b/>
          <w:i/>
          <w:sz w:val="18"/>
          <w:lang w:val="en-US"/>
        </w:rPr>
        <w:t>ASSESSMENT METHOD AND CRITERIA</w:t>
      </w:r>
    </w:p>
    <w:p w14:paraId="33FC3176" w14:textId="77777777" w:rsidR="00E76C12" w:rsidRPr="00E76C12" w:rsidRDefault="00E76C12" w:rsidP="00E76C12">
      <w:pPr>
        <w:pStyle w:val="Testo2"/>
        <w:rPr>
          <w:smallCaps/>
        </w:rPr>
      </w:pPr>
      <w:r w:rsidRPr="00E76C12">
        <w:rPr>
          <w:smallCaps/>
        </w:rPr>
        <w:t>Both modules</w:t>
      </w:r>
    </w:p>
    <w:p w14:paraId="213572ED" w14:textId="1B16774D" w:rsidR="001F19DD" w:rsidRDefault="00562F42" w:rsidP="00E76C12">
      <w:pPr>
        <w:pStyle w:val="Testo2"/>
      </w:pPr>
      <w:r>
        <w:t>Students will be required to answer questions on the theoretical and historical elements of the course and show the ability to recognise and describe, in a critical and argumentative manner, the aims, structure, and function of the digital tools presented by the lecturer.</w:t>
      </w:r>
    </w:p>
    <w:p w14:paraId="28B4D4B9" w14:textId="77777777" w:rsidR="00E76C12" w:rsidRDefault="00E76C12" w:rsidP="00E76C12">
      <w:pPr>
        <w:spacing w:before="240" w:after="120"/>
        <w:rPr>
          <w:b/>
          <w:i/>
          <w:sz w:val="18"/>
          <w:lang w:val="en-US"/>
        </w:rPr>
      </w:pPr>
      <w:r w:rsidRPr="00514034">
        <w:rPr>
          <w:b/>
          <w:i/>
          <w:sz w:val="18"/>
          <w:lang w:val="en-US"/>
        </w:rPr>
        <w:lastRenderedPageBreak/>
        <w:t>NOTES AND PREREQUISITES</w:t>
      </w:r>
    </w:p>
    <w:p w14:paraId="1D4C6C40" w14:textId="77777777" w:rsidR="00E76C12" w:rsidRPr="00E76C12" w:rsidRDefault="00E76C12" w:rsidP="00E76C12">
      <w:pPr>
        <w:pStyle w:val="Testo2"/>
        <w:rPr>
          <w:smallCaps/>
        </w:rPr>
      </w:pPr>
      <w:r w:rsidRPr="00E76C12">
        <w:rPr>
          <w:smallCaps/>
        </w:rPr>
        <w:t>Both modules</w:t>
      </w:r>
    </w:p>
    <w:p w14:paraId="39C35825" w14:textId="77777777" w:rsidR="001F19DD" w:rsidRPr="00E76C12" w:rsidRDefault="00562F42" w:rsidP="00E76C12">
      <w:pPr>
        <w:pStyle w:val="Testo2"/>
        <w:rPr>
          <w:szCs w:val="18"/>
        </w:rPr>
      </w:pPr>
      <w:r w:rsidRPr="00E76C12">
        <w:rPr>
          <w:szCs w:val="18"/>
        </w:rPr>
        <w:t>There are no prerequisites for attending the course.</w:t>
      </w:r>
    </w:p>
    <w:p w14:paraId="1619520B" w14:textId="77777777" w:rsidR="001F19DD" w:rsidRPr="00E76C12" w:rsidRDefault="00562F42" w:rsidP="00E76C12">
      <w:pPr>
        <w:pStyle w:val="Testo2"/>
        <w:spacing w:before="120"/>
        <w:rPr>
          <w:i/>
          <w:iCs/>
          <w:szCs w:val="18"/>
        </w:rPr>
      </w:pPr>
      <w:r w:rsidRPr="00E76C12">
        <w:rPr>
          <w:i/>
          <w:iCs/>
          <w:szCs w:val="18"/>
        </w:rPr>
        <w:t>Place and time of consultation hours</w:t>
      </w:r>
    </w:p>
    <w:p w14:paraId="646D383A" w14:textId="77777777" w:rsidR="001F19DD" w:rsidRPr="00E76C12" w:rsidRDefault="00562F42" w:rsidP="00E76C12">
      <w:pPr>
        <w:pStyle w:val="Testo2"/>
        <w:rPr>
          <w:szCs w:val="18"/>
        </w:rPr>
      </w:pPr>
      <w:r w:rsidRPr="00E76C12">
        <w:rPr>
          <w:rFonts w:ascii="Times New Roman" w:hAnsi="Times New Roman"/>
          <w:szCs w:val="18"/>
        </w:rPr>
        <w:t xml:space="preserve">On appointment, by sending an e-mail to </w:t>
      </w:r>
      <w:hyperlink r:id="rId6">
        <w:r w:rsidRPr="00E76C12">
          <w:rPr>
            <w:rStyle w:val="Collegamentoipertestuale"/>
            <w:rFonts w:ascii="Times New Roman" w:hAnsi="Times New Roman"/>
            <w:szCs w:val="18"/>
          </w:rPr>
          <w:t>guido.milanese@unicatt.it</w:t>
        </w:r>
      </w:hyperlink>
      <w:r w:rsidRPr="00E76C12">
        <w:rPr>
          <w:rFonts w:ascii="Times New Roman" w:hAnsi="Times New Roman"/>
          <w:szCs w:val="18"/>
        </w:rPr>
        <w:t xml:space="preserve"> and/or to </w:t>
      </w:r>
      <w:hyperlink r:id="rId7">
        <w:r w:rsidRPr="00E76C12">
          <w:rPr>
            <w:rStyle w:val="Collegamentoipertestuale"/>
            <w:rFonts w:ascii="Times New Roman" w:hAnsi="Times New Roman"/>
            <w:szCs w:val="18"/>
          </w:rPr>
          <w:t>andrea.consalvi@unicatt.it</w:t>
        </w:r>
      </w:hyperlink>
    </w:p>
    <w:sectPr w:rsidR="001F19DD" w:rsidRPr="00E76C12">
      <w:pgSz w:w="11906" w:h="16838"/>
      <w:pgMar w:top="3515" w:right="2608" w:bottom="3515" w:left="260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tium">
    <w:altName w:val="Cambria"/>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370"/>
    <w:multiLevelType w:val="multilevel"/>
    <w:tmpl w:val="9286A8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1B0E13"/>
    <w:multiLevelType w:val="multilevel"/>
    <w:tmpl w:val="4A5066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7CA26E0"/>
    <w:multiLevelType w:val="multilevel"/>
    <w:tmpl w:val="445E5CD8"/>
    <w:lvl w:ilvl="0">
      <w:start w:val="1"/>
      <w:numFmt w:val="decimal"/>
      <w:lvlText w:val="%1."/>
      <w:lvlJc w:val="left"/>
      <w:pPr>
        <w:tabs>
          <w:tab w:val="num" w:pos="1068"/>
        </w:tabs>
        <w:ind w:left="1068" w:hanging="360"/>
      </w:pPr>
      <w:rPr>
        <w:rFonts w:ascii="Gentium" w:hAnsi="Gentium" w:cs="Gentium"/>
        <w:lang w:bidi="ar-SA"/>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 w15:restartNumberingAfterBreak="0">
    <w:nsid w:val="34170BD6"/>
    <w:multiLevelType w:val="multilevel"/>
    <w:tmpl w:val="9258A648"/>
    <w:lvl w:ilvl="0">
      <w:start w:val="1"/>
      <w:numFmt w:val="bullet"/>
      <w:lvlText w:val=""/>
      <w:lvlJc w:val="left"/>
      <w:pPr>
        <w:tabs>
          <w:tab w:val="num" w:pos="0"/>
        </w:tabs>
        <w:ind w:left="1068" w:hanging="360"/>
      </w:pPr>
      <w:rPr>
        <w:rFonts w:ascii="Symbol" w:hAnsi="Symbol" w:cs="Symbol" w:hint="default"/>
        <w:color w:val="auto"/>
        <w:lang w:bidi="ar-SA"/>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 w15:restartNumberingAfterBreak="0">
    <w:nsid w:val="3DC316E1"/>
    <w:multiLevelType w:val="multilevel"/>
    <w:tmpl w:val="B8FC0E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8BC600E"/>
    <w:multiLevelType w:val="multilevel"/>
    <w:tmpl w:val="77FC9936"/>
    <w:lvl w:ilvl="0">
      <w:start w:val="1"/>
      <w:numFmt w:val="decimal"/>
      <w:lvlText w:val="%1."/>
      <w:lvlJc w:val="left"/>
      <w:pPr>
        <w:tabs>
          <w:tab w:val="num" w:pos="360"/>
        </w:tabs>
        <w:ind w:left="360" w:hanging="360"/>
      </w:pPr>
      <w:rPr>
        <w:rFonts w:ascii="Gentium" w:hAnsi="Gentium" w:cs="Gentium"/>
        <w:lang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7D810239"/>
    <w:multiLevelType w:val="multilevel"/>
    <w:tmpl w:val="05E462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8906544">
    <w:abstractNumId w:val="0"/>
  </w:num>
  <w:num w:numId="2" w16cid:durableId="1200512567">
    <w:abstractNumId w:val="1"/>
  </w:num>
  <w:num w:numId="3" w16cid:durableId="1420445893">
    <w:abstractNumId w:val="5"/>
  </w:num>
  <w:num w:numId="4" w16cid:durableId="1976906953">
    <w:abstractNumId w:val="2"/>
  </w:num>
  <w:num w:numId="5" w16cid:durableId="198668644">
    <w:abstractNumId w:val="3"/>
  </w:num>
  <w:num w:numId="6" w16cid:durableId="237909458">
    <w:abstractNumId w:val="4"/>
  </w:num>
  <w:num w:numId="7" w16cid:durableId="1887333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DD"/>
    <w:rsid w:val="001F19DD"/>
    <w:rsid w:val="003101D3"/>
    <w:rsid w:val="00562F42"/>
    <w:rsid w:val="00AC5318"/>
    <w:rsid w:val="00D317EF"/>
    <w:rsid w:val="00E76C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3D22"/>
  <w15:docId w15:val="{CA975C2D-9E4E-4990-B6F2-964C445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4CA9"/>
    <w:rPr>
      <w:sz w:val="24"/>
      <w:szCs w:val="24"/>
    </w:rPr>
  </w:style>
  <w:style w:type="paragraph" w:styleId="Titolo1">
    <w:name w:val="heading 1"/>
    <w:next w:val="Titolo2"/>
    <w:qFormat/>
    <w:rsid w:val="00777C04"/>
    <w:pPr>
      <w:spacing w:before="480" w:line="240" w:lineRule="exact"/>
      <w:outlineLvl w:val="0"/>
    </w:pPr>
    <w:rPr>
      <w:rFonts w:ascii="Times" w:hAnsi="Times"/>
      <w:b/>
      <w:sz w:val="32"/>
    </w:rPr>
  </w:style>
  <w:style w:type="paragraph" w:styleId="Titolo2">
    <w:name w:val="heading 2"/>
    <w:next w:val="Titolo3"/>
    <w:qFormat/>
    <w:rsid w:val="00777C04"/>
    <w:pPr>
      <w:spacing w:line="240" w:lineRule="exact"/>
      <w:outlineLvl w:val="1"/>
    </w:pPr>
    <w:rPr>
      <w:rFonts w:ascii="Times" w:hAnsi="Times"/>
      <w:smallCaps/>
      <w:sz w:val="28"/>
    </w:rPr>
  </w:style>
  <w:style w:type="paragraph" w:styleId="Titolo3">
    <w:name w:val="heading 3"/>
    <w:next w:val="Normale"/>
    <w:qFormat/>
    <w:rsid w:val="00777C04"/>
    <w:pPr>
      <w:spacing w:before="240" w:after="120" w:line="240" w:lineRule="exact"/>
      <w:outlineLvl w:val="2"/>
    </w:pPr>
    <w:rPr>
      <w:rFonts w:ascii="Times" w:hAnsi="Times"/>
      <w:i/>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qFormat/>
    <w:rsid w:val="00726987"/>
  </w:style>
  <w:style w:type="character" w:styleId="Collegamentoipertestuale">
    <w:name w:val="Hyperlink"/>
    <w:basedOn w:val="Carpredefinitoparagrafo"/>
    <w:uiPriority w:val="99"/>
    <w:unhideWhenUsed/>
    <w:rsid w:val="00726987"/>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EA715A"/>
    <w:rPr>
      <w:rFonts w:ascii="Segoe UI" w:hAnsi="Segoe UI" w:cs="Segoe UI"/>
      <w:sz w:val="18"/>
      <w:szCs w:val="18"/>
    </w:rPr>
  </w:style>
  <w:style w:type="character" w:customStyle="1" w:styleId="CorpotestoCarattere">
    <w:name w:val="Corpo testo Carattere"/>
    <w:basedOn w:val="Carpredefinitoparagrafo"/>
    <w:link w:val="Corpotesto"/>
    <w:uiPriority w:val="99"/>
    <w:semiHidden/>
    <w:qFormat/>
    <w:rsid w:val="00C442A4"/>
    <w:rPr>
      <w:rFonts w:ascii="Times" w:hAnsi="Times"/>
    </w:rPr>
  </w:style>
  <w:style w:type="character" w:styleId="Menzionenonrisolta">
    <w:name w:val="Unresolved Mention"/>
    <w:basedOn w:val="Carpredefinitoparagrafo"/>
    <w:uiPriority w:val="99"/>
    <w:semiHidden/>
    <w:unhideWhenUsed/>
    <w:qFormat/>
    <w:rsid w:val="00C442A4"/>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DejaVu Sans" w:hAnsi="Liberation Sans" w:cs="Lohit Devanagari"/>
      <w:sz w:val="28"/>
      <w:szCs w:val="28"/>
    </w:rPr>
  </w:style>
  <w:style w:type="paragraph" w:styleId="Corpotesto">
    <w:name w:val="Body Text"/>
    <w:basedOn w:val="Normale"/>
    <w:link w:val="CorpotestoCarattere"/>
    <w:uiPriority w:val="99"/>
    <w:semiHidden/>
    <w:unhideWhenUsed/>
    <w:rsid w:val="00C442A4"/>
    <w:pPr>
      <w:tabs>
        <w:tab w:val="left" w:pos="284"/>
      </w:tabs>
      <w:spacing w:after="120" w:line="240" w:lineRule="exact"/>
      <w:jc w:val="both"/>
    </w:pPr>
    <w:rPr>
      <w:rFonts w:ascii="Times" w:hAnsi="Times"/>
      <w:sz w:val="20"/>
      <w:szCs w:val="20"/>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Lohit Devanagari"/>
    </w:rPr>
  </w:style>
  <w:style w:type="paragraph" w:customStyle="1" w:styleId="Didefault">
    <w:name w:val="Di default"/>
    <w:qFormat/>
    <w:rsid w:val="00402BF8"/>
    <w:rPr>
      <w:rFonts w:ascii="Helvetica" w:eastAsia="Arial Unicode MS" w:hAnsi="Helvetica" w:cs="Arial Unicode MS"/>
      <w:color w:val="000000"/>
      <w:sz w:val="22"/>
      <w:szCs w:val="22"/>
    </w:rPr>
  </w:style>
  <w:style w:type="paragraph" w:customStyle="1" w:styleId="Testo1">
    <w:name w:val="Testo 1"/>
    <w:qFormat/>
    <w:rsid w:val="00777C04"/>
    <w:pPr>
      <w:spacing w:line="220" w:lineRule="exact"/>
      <w:ind w:left="284" w:hanging="284"/>
      <w:jc w:val="both"/>
    </w:pPr>
    <w:rPr>
      <w:rFonts w:ascii="Times" w:hAnsi="Times"/>
      <w:sz w:val="18"/>
    </w:rPr>
  </w:style>
  <w:style w:type="paragraph" w:customStyle="1" w:styleId="Testo2">
    <w:name w:val="Testo 2"/>
    <w:qFormat/>
    <w:rsid w:val="00777C04"/>
    <w:pPr>
      <w:spacing w:line="220" w:lineRule="exact"/>
      <w:ind w:firstLine="284"/>
      <w:jc w:val="both"/>
    </w:pPr>
    <w:rPr>
      <w:rFonts w:ascii="Times" w:hAnsi="Times"/>
      <w:sz w:val="18"/>
    </w:rPr>
  </w:style>
  <w:style w:type="paragraph" w:customStyle="1" w:styleId="DidefaultA">
    <w:name w:val="Di default A"/>
    <w:qFormat/>
    <w:rsid w:val="00726987"/>
    <w:pPr>
      <w:tabs>
        <w:tab w:val="left" w:pos="284"/>
      </w:tabs>
      <w:spacing w:line="240" w:lineRule="exact"/>
      <w:jc w:val="both"/>
    </w:pPr>
    <w:rPr>
      <w:rFonts w:ascii="Times" w:eastAsia="Arial Unicode MS" w:hAnsi="Times" w:cs="Arial Unicode MS"/>
      <w:color w:val="000000"/>
      <w:sz w:val="22"/>
      <w:szCs w:val="22"/>
      <w:u w:color="000000"/>
    </w:rPr>
  </w:style>
  <w:style w:type="paragraph" w:styleId="Testofumetto">
    <w:name w:val="Balloon Text"/>
    <w:basedOn w:val="Normale"/>
    <w:link w:val="TestofumettoCarattere"/>
    <w:uiPriority w:val="99"/>
    <w:semiHidden/>
    <w:unhideWhenUsed/>
    <w:qFormat/>
    <w:rsid w:val="00EA715A"/>
    <w:pPr>
      <w:tabs>
        <w:tab w:val="left" w:pos="284"/>
      </w:tabs>
      <w:jc w:val="both"/>
    </w:pPr>
    <w:rPr>
      <w:rFonts w:ascii="Segoe UI" w:hAnsi="Segoe UI" w:cs="Segoe UI"/>
      <w:sz w:val="18"/>
      <w:szCs w:val="18"/>
    </w:rPr>
  </w:style>
  <w:style w:type="paragraph" w:styleId="Paragrafoelenco">
    <w:name w:val="List Paragraph"/>
    <w:uiPriority w:val="34"/>
    <w:qFormat/>
    <w:rsid w:val="00EA715A"/>
    <w:pPr>
      <w:tabs>
        <w:tab w:val="left" w:pos="284"/>
      </w:tabs>
      <w:spacing w:line="240" w:lineRule="exact"/>
      <w:ind w:left="720"/>
      <w:jc w:val="both"/>
    </w:pPr>
    <w:rPr>
      <w:rFonts w:ascii="Times" w:eastAsia="Arial Unicode MS" w:hAnsi="Times" w:cs="Arial Unicode MS"/>
      <w:color w:val="000000"/>
      <w:u w:color="000000"/>
    </w:rPr>
  </w:style>
  <w:style w:type="paragraph" w:customStyle="1" w:styleId="FirstParagraph">
    <w:name w:val="First Paragraph"/>
    <w:basedOn w:val="Corpotesto"/>
    <w:qFormat/>
    <w:rsid w:val="00C442A4"/>
    <w:pPr>
      <w:tabs>
        <w:tab w:val="clear" w:pos="284"/>
      </w:tabs>
      <w:spacing w:before="180" w:after="180" w:line="240" w:lineRule="auto"/>
    </w:pPr>
    <w:rPr>
      <w:rFonts w:asciiTheme="minorHAnsi" w:eastAsiaTheme="minorHAnsi" w:hAnsiTheme="minorHAnsi" w:cstheme="minorBidi"/>
      <w:sz w:val="24"/>
      <w:szCs w:val="24"/>
      <w:u w:color="000000"/>
      <w:lang w:eastAsia="en-US"/>
    </w:rPr>
  </w:style>
  <w:style w:type="numbering" w:customStyle="1" w:styleId="Numerato">
    <w:name w:val="Numerato"/>
    <w:qFormat/>
    <w:rsid w:val="001A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a.consalv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ido.milanese@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1246-4786-4492-BA20-FC4C7CC1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584</Words>
  <Characters>3332</Characters>
  <Application>Microsoft Office Word</Application>
  <DocSecurity>0</DocSecurity>
  <Lines>27</Lines>
  <Paragraphs>7</Paragraphs>
  <ScaleCrop>false</ScaleCrop>
  <Company>U.C.S.C. MILANO</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Moresco Donatella</dc:creator>
  <dc:description/>
  <cp:lastModifiedBy>Grassi Monica Barbara</cp:lastModifiedBy>
  <cp:revision>5</cp:revision>
  <cp:lastPrinted>2003-03-27T09:42:00Z</cp:lastPrinted>
  <dcterms:created xsi:type="dcterms:W3CDTF">2023-05-19T10:50:00Z</dcterms:created>
  <dcterms:modified xsi:type="dcterms:W3CDTF">2023-05-22T07:09:00Z</dcterms:modified>
  <dc:language>en-GB</dc:language>
</cp:coreProperties>
</file>