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A051" w14:textId="77777777" w:rsidR="009259BA" w:rsidRPr="00953827" w:rsidRDefault="009259BA" w:rsidP="009259BA">
      <w:pPr>
        <w:pBdr>
          <w:top w:val="nil"/>
          <w:left w:val="nil"/>
          <w:bottom w:val="nil"/>
          <w:right w:val="nil"/>
          <w:between w:val="nil"/>
          <w:bar w:val="nil"/>
        </w:pBdr>
        <w:tabs>
          <w:tab w:val="clear" w:pos="284"/>
        </w:tabs>
        <w:spacing w:before="480"/>
        <w:ind w:left="284" w:hanging="284"/>
        <w:outlineLvl w:val="0"/>
        <w:rPr>
          <w:rFonts w:ascii="Times" w:eastAsia="Arial Unicode MS" w:hAnsi="Times" w:cs="Arial Unicode MS"/>
          <w:b/>
          <w:bCs/>
          <w:color w:val="000000"/>
          <w:szCs w:val="20"/>
          <w:u w:color="000000"/>
          <w:bdr w:val="nil"/>
        </w:rPr>
      </w:pPr>
      <w:r>
        <w:rPr>
          <w:rFonts w:ascii="Times" w:hAnsi="Times"/>
          <w:b/>
          <w:bCs/>
          <w:color w:val="000000"/>
          <w:szCs w:val="20"/>
          <w:u w:color="000000"/>
          <w:bdr w:val="nil"/>
        </w:rPr>
        <w:t>Moral Philosophy</w:t>
      </w:r>
    </w:p>
    <w:p w14:paraId="3C2DF975" w14:textId="2B41C829" w:rsidR="000C7416" w:rsidRDefault="000C7416" w:rsidP="000C7416">
      <w:pPr>
        <w:pStyle w:val="Titolo2"/>
        <w:rPr>
          <w:noProof w:val="0"/>
        </w:rPr>
      </w:pPr>
      <w:r>
        <w:rPr>
          <w:noProof w:val="0"/>
        </w:rPr>
        <w:t>Prof. Carla Danani</w:t>
      </w:r>
    </w:p>
    <w:p w14:paraId="568354B9" w14:textId="77C6993B" w:rsidR="000C7416" w:rsidRDefault="000C7416" w:rsidP="000C7416">
      <w:pPr>
        <w:spacing w:before="240" w:after="120"/>
        <w:rPr>
          <w:b/>
          <w:i/>
          <w:sz w:val="18"/>
        </w:rPr>
      </w:pPr>
      <w:r>
        <w:rPr>
          <w:b/>
          <w:i/>
          <w:sz w:val="18"/>
        </w:rPr>
        <w:t>COURSE AIMS AND INTENDED LEARNING OUTCOMES</w:t>
      </w:r>
    </w:p>
    <w:p w14:paraId="49F0DFDC" w14:textId="77777777" w:rsidR="000C7416" w:rsidRDefault="000C7416" w:rsidP="000C7416">
      <w:pPr>
        <w:spacing w:line="240" w:lineRule="auto"/>
        <w:rPr>
          <w:rFonts w:ascii="Times" w:hAnsi="Times" w:cs="Times"/>
          <w:szCs w:val="20"/>
        </w:rPr>
      </w:pPr>
      <w:r>
        <w:rPr>
          <w:rFonts w:ascii="Times" w:hAnsi="Times"/>
          <w:szCs w:val="20"/>
        </w:rPr>
        <w:t>The course follows a phenomenological-hermeneutic approach, examining some relevant texts on moral philosophy. It is divided into two modules. Module 1 aims to provide students with basic knowledge in moral philosophy: concepts, issues, key theoretical points, and argumentational models. Module 2 focuses on a single subject, critically analysing different aspects of a specific theme. The course as a whole includes the acquisition of: a) knowledge of the topics covered and the texts considered; b) basic skills in conceptual analysis, argumentation, clarity and consistency of expression; (c) problem-finding skills and critical approach.</w:t>
      </w:r>
    </w:p>
    <w:p w14:paraId="0D65B189" w14:textId="77777777" w:rsidR="000C7416" w:rsidRDefault="000C7416" w:rsidP="000C7416">
      <w:pPr>
        <w:keepNext/>
        <w:spacing w:before="240" w:after="120"/>
        <w:rPr>
          <w:b/>
          <w:i/>
          <w:sz w:val="18"/>
        </w:rPr>
      </w:pPr>
      <w:r>
        <w:rPr>
          <w:b/>
          <w:i/>
          <w:sz w:val="18"/>
        </w:rPr>
        <w:t>READING LIST</w:t>
      </w:r>
    </w:p>
    <w:p w14:paraId="565A9F80" w14:textId="77777777" w:rsidR="000C7416" w:rsidRPr="000C7416" w:rsidRDefault="000C7416" w:rsidP="000C7416">
      <w:pPr>
        <w:spacing w:line="240" w:lineRule="auto"/>
        <w:rPr>
          <w:rFonts w:ascii="Times" w:hAnsi="Times" w:cs="Times"/>
          <w:sz w:val="18"/>
          <w:szCs w:val="18"/>
        </w:rPr>
      </w:pPr>
      <w:r>
        <w:rPr>
          <w:rFonts w:ascii="Times" w:hAnsi="Times"/>
          <w:sz w:val="18"/>
          <w:szCs w:val="18"/>
        </w:rPr>
        <w:t xml:space="preserve">Module 1 </w:t>
      </w:r>
    </w:p>
    <w:p w14:paraId="6DA5CE55" w14:textId="77777777" w:rsidR="000C7416" w:rsidRPr="000C7416" w:rsidRDefault="000C7416" w:rsidP="000C7416">
      <w:pPr>
        <w:pStyle w:val="Paragrafoelenco"/>
        <w:numPr>
          <w:ilvl w:val="0"/>
          <w:numId w:val="1"/>
        </w:numPr>
        <w:autoSpaceDE w:val="0"/>
        <w:autoSpaceDN w:val="0"/>
        <w:adjustRightInd w:val="0"/>
        <w:spacing w:line="240" w:lineRule="auto"/>
        <w:rPr>
          <w:rFonts w:ascii="Times" w:hAnsi="Times" w:cs="Times"/>
          <w:i/>
          <w:sz w:val="18"/>
          <w:szCs w:val="18"/>
        </w:rPr>
      </w:pPr>
      <w:r>
        <w:rPr>
          <w:rFonts w:ascii="Times" w:hAnsi="Times"/>
          <w:b/>
          <w:sz w:val="18"/>
          <w:szCs w:val="18"/>
        </w:rPr>
        <w:t>Moral life and moral philosophy</w:t>
      </w:r>
    </w:p>
    <w:p w14:paraId="0CE9951C" w14:textId="01741472" w:rsidR="000C7416" w:rsidRPr="000C7416" w:rsidRDefault="000C7416" w:rsidP="000C7416">
      <w:pPr>
        <w:pStyle w:val="Paragrafoelenco"/>
        <w:autoSpaceDE w:val="0"/>
        <w:autoSpaceDN w:val="0"/>
        <w:adjustRightInd w:val="0"/>
        <w:spacing w:line="240" w:lineRule="auto"/>
        <w:rPr>
          <w:rFonts w:ascii="Times" w:hAnsi="Times" w:cs="Times"/>
          <w:i/>
          <w:sz w:val="18"/>
          <w:szCs w:val="18"/>
        </w:rPr>
      </w:pPr>
      <w:r>
        <w:rPr>
          <w:rFonts w:ascii="Times" w:hAnsi="Times"/>
          <w:sz w:val="18"/>
          <w:szCs w:val="18"/>
        </w:rPr>
        <w:t xml:space="preserve">Aristotle, </w:t>
      </w:r>
      <w:r>
        <w:rPr>
          <w:rFonts w:ascii="Times" w:hAnsi="Times"/>
          <w:i/>
          <w:sz w:val="18"/>
          <w:szCs w:val="18"/>
        </w:rPr>
        <w:t xml:space="preserve">Etica Nicomachea, </w:t>
      </w:r>
      <w:r>
        <w:rPr>
          <w:rFonts w:ascii="Times" w:hAnsi="Times"/>
          <w:sz w:val="18"/>
          <w:szCs w:val="18"/>
        </w:rPr>
        <w:t xml:space="preserve">chaps. 1 and 6; I. </w:t>
      </w:r>
      <w:r>
        <w:rPr>
          <w:rFonts w:ascii="Times" w:hAnsi="Times"/>
          <w:smallCaps/>
          <w:sz w:val="18"/>
          <w:szCs w:val="18"/>
        </w:rPr>
        <w:t>Kant</w:t>
      </w:r>
      <w:r>
        <w:rPr>
          <w:rFonts w:ascii="Times" w:hAnsi="Times"/>
          <w:sz w:val="18"/>
          <w:szCs w:val="18"/>
        </w:rPr>
        <w:t>,</w:t>
      </w:r>
      <w:r>
        <w:rPr>
          <w:rFonts w:ascii="Times" w:hAnsi="Times"/>
          <w:i/>
          <w:sz w:val="18"/>
          <w:szCs w:val="18"/>
        </w:rPr>
        <w:t xml:space="preserve"> Critica della Ragion pratica, </w:t>
      </w:r>
      <w:r>
        <w:rPr>
          <w:rFonts w:ascii="Times" w:hAnsi="Times"/>
          <w:sz w:val="18"/>
          <w:szCs w:val="18"/>
        </w:rPr>
        <w:t xml:space="preserve">Prefazione, Introduzione, Analitica chap. 1; G.W.F. Hegel, </w:t>
      </w:r>
      <w:r>
        <w:rPr>
          <w:rFonts w:ascii="Times" w:hAnsi="Times"/>
          <w:i/>
          <w:sz w:val="18"/>
          <w:szCs w:val="18"/>
        </w:rPr>
        <w:t>Lineamenti di filosofia del diritto</w:t>
      </w:r>
      <w:r>
        <w:rPr>
          <w:rFonts w:ascii="Times" w:hAnsi="Times"/>
          <w:sz w:val="18"/>
          <w:szCs w:val="18"/>
        </w:rPr>
        <w:t xml:space="preserve">, third part; C. </w:t>
      </w:r>
      <w:r>
        <w:rPr>
          <w:rFonts w:ascii="Times" w:hAnsi="Times"/>
          <w:smallCaps/>
          <w:sz w:val="18"/>
          <w:szCs w:val="18"/>
        </w:rPr>
        <w:t>Danani</w:t>
      </w:r>
      <w:r>
        <w:rPr>
          <w:rFonts w:ascii="Times" w:hAnsi="Times"/>
          <w:sz w:val="18"/>
          <w:szCs w:val="18"/>
        </w:rPr>
        <w:t xml:space="preserve">, </w:t>
      </w:r>
      <w:r>
        <w:rPr>
          <w:rFonts w:ascii="Times" w:hAnsi="Times"/>
          <w:i/>
          <w:sz w:val="18"/>
          <w:szCs w:val="18"/>
        </w:rPr>
        <w:t>Living on the world: rethinking justice by reconsidering vulnerability and autonomy</w:t>
      </w:r>
      <w:r>
        <w:rPr>
          <w:rFonts w:ascii="Times" w:hAnsi="Times"/>
          <w:sz w:val="18"/>
          <w:szCs w:val="18"/>
        </w:rPr>
        <w:t xml:space="preserve"> in “Medicina e Morale”, 2020, 2, pp. 193-211</w:t>
      </w:r>
    </w:p>
    <w:p w14:paraId="7809FAF5" w14:textId="77777777" w:rsidR="000C7416" w:rsidRPr="000C7416" w:rsidRDefault="000C7416" w:rsidP="000C7416">
      <w:pPr>
        <w:pStyle w:val="Paragrafoelenco"/>
        <w:numPr>
          <w:ilvl w:val="0"/>
          <w:numId w:val="1"/>
        </w:numPr>
        <w:autoSpaceDE w:val="0"/>
        <w:autoSpaceDN w:val="0"/>
        <w:adjustRightInd w:val="0"/>
        <w:spacing w:line="240" w:lineRule="auto"/>
        <w:rPr>
          <w:rFonts w:ascii="Times" w:hAnsi="Times" w:cs="Times"/>
          <w:i/>
          <w:sz w:val="18"/>
          <w:szCs w:val="18"/>
        </w:rPr>
      </w:pPr>
      <w:r>
        <w:rPr>
          <w:rFonts w:ascii="Times" w:hAnsi="Times"/>
          <w:b/>
          <w:sz w:val="18"/>
          <w:szCs w:val="18"/>
        </w:rPr>
        <w:t>Ethics and responsibility</w:t>
      </w:r>
    </w:p>
    <w:p w14:paraId="31ED7427" w14:textId="77777777" w:rsidR="000C7416" w:rsidRPr="000C7416" w:rsidRDefault="000C7416" w:rsidP="000C7416">
      <w:pPr>
        <w:pStyle w:val="Paragrafoelenco"/>
        <w:autoSpaceDE w:val="0"/>
        <w:autoSpaceDN w:val="0"/>
        <w:adjustRightInd w:val="0"/>
        <w:spacing w:line="240" w:lineRule="auto"/>
        <w:rPr>
          <w:rFonts w:ascii="Times" w:hAnsi="Times" w:cs="Times"/>
          <w:sz w:val="18"/>
          <w:szCs w:val="18"/>
        </w:rPr>
      </w:pPr>
      <w:r>
        <w:rPr>
          <w:rFonts w:ascii="Times" w:hAnsi="Times"/>
          <w:sz w:val="18"/>
          <w:szCs w:val="18"/>
        </w:rPr>
        <w:t xml:space="preserve">M. </w:t>
      </w:r>
      <w:r>
        <w:rPr>
          <w:rFonts w:ascii="Times" w:hAnsi="Times"/>
          <w:smallCaps/>
          <w:sz w:val="18"/>
          <w:szCs w:val="18"/>
        </w:rPr>
        <w:t>Weber</w:t>
      </w:r>
      <w:r>
        <w:rPr>
          <w:rFonts w:ascii="Times" w:hAnsi="Times"/>
          <w:sz w:val="18"/>
          <w:szCs w:val="18"/>
        </w:rPr>
        <w:t xml:space="preserve">, </w:t>
      </w:r>
      <w:r>
        <w:rPr>
          <w:rFonts w:ascii="Times" w:hAnsi="Times"/>
          <w:i/>
          <w:sz w:val="18"/>
          <w:szCs w:val="18"/>
        </w:rPr>
        <w:t>La politica come professione</w:t>
      </w:r>
      <w:r>
        <w:rPr>
          <w:rFonts w:ascii="Times" w:hAnsi="Times"/>
          <w:sz w:val="18"/>
          <w:szCs w:val="18"/>
        </w:rPr>
        <w:t xml:space="preserve">; E. </w:t>
      </w:r>
      <w:r>
        <w:rPr>
          <w:rFonts w:ascii="Times" w:hAnsi="Times"/>
          <w:smallCaps/>
          <w:sz w:val="18"/>
          <w:szCs w:val="18"/>
        </w:rPr>
        <w:t>Levinas</w:t>
      </w:r>
      <w:r>
        <w:rPr>
          <w:rFonts w:ascii="Times" w:hAnsi="Times"/>
          <w:sz w:val="18"/>
          <w:szCs w:val="18"/>
        </w:rPr>
        <w:t xml:space="preserve">, </w:t>
      </w:r>
      <w:r>
        <w:rPr>
          <w:rFonts w:ascii="Times" w:hAnsi="Times"/>
          <w:i/>
          <w:sz w:val="18"/>
          <w:szCs w:val="18"/>
        </w:rPr>
        <w:t>Altrimenti che essere o al di là dell’essenza</w:t>
      </w:r>
      <w:r>
        <w:rPr>
          <w:rFonts w:ascii="Times" w:hAnsi="Times"/>
          <w:sz w:val="18"/>
          <w:szCs w:val="18"/>
        </w:rPr>
        <w:t xml:space="preserve">, chap. 5 par. 1; H. </w:t>
      </w:r>
      <w:r>
        <w:rPr>
          <w:rFonts w:ascii="Times" w:hAnsi="Times"/>
          <w:smallCaps/>
          <w:sz w:val="18"/>
          <w:szCs w:val="18"/>
        </w:rPr>
        <w:t>Jonas</w:t>
      </w:r>
      <w:r>
        <w:rPr>
          <w:rFonts w:ascii="Times" w:hAnsi="Times"/>
          <w:sz w:val="18"/>
          <w:szCs w:val="18"/>
        </w:rPr>
        <w:t xml:space="preserve">, </w:t>
      </w:r>
      <w:r>
        <w:rPr>
          <w:rFonts w:ascii="Times" w:hAnsi="Times"/>
          <w:i/>
          <w:sz w:val="18"/>
          <w:szCs w:val="18"/>
        </w:rPr>
        <w:t xml:space="preserve">Principio responsabilità. Un’etica per la civiltà tecnologica, </w:t>
      </w:r>
      <w:r>
        <w:rPr>
          <w:rFonts w:ascii="Times" w:hAnsi="Times"/>
          <w:sz w:val="18"/>
          <w:szCs w:val="18"/>
        </w:rPr>
        <w:t xml:space="preserve">part 4 chap. 2, part 6 chap. 3; F. </w:t>
      </w:r>
      <w:r>
        <w:rPr>
          <w:rFonts w:ascii="Times" w:hAnsi="Times"/>
          <w:smallCaps/>
          <w:sz w:val="18"/>
          <w:szCs w:val="18"/>
        </w:rPr>
        <w:t>Riva</w:t>
      </w:r>
      <w:r>
        <w:rPr>
          <w:rFonts w:ascii="Times" w:hAnsi="Times"/>
          <w:sz w:val="18"/>
          <w:szCs w:val="18"/>
        </w:rPr>
        <w:t xml:space="preserve">, </w:t>
      </w:r>
      <w:r>
        <w:rPr>
          <w:rFonts w:ascii="Times" w:hAnsi="Times"/>
          <w:i/>
          <w:sz w:val="18"/>
          <w:szCs w:val="18"/>
        </w:rPr>
        <w:t>Partecipazione e responsabilità. Un binomio vitale per la democrazia</w:t>
      </w:r>
      <w:r>
        <w:rPr>
          <w:rFonts w:ascii="Times" w:hAnsi="Times"/>
          <w:sz w:val="18"/>
          <w:szCs w:val="18"/>
        </w:rPr>
        <w:t>, pp. 36-56</w:t>
      </w:r>
    </w:p>
    <w:p w14:paraId="7D8DCC6A" w14:textId="77777777" w:rsidR="000C7416" w:rsidRPr="000C7416" w:rsidRDefault="000C7416" w:rsidP="000C7416">
      <w:pPr>
        <w:pStyle w:val="Testo1"/>
        <w:spacing w:before="0" w:line="240" w:lineRule="auto"/>
        <w:rPr>
          <w:rFonts w:cs="Times"/>
          <w:noProof w:val="0"/>
          <w:spacing w:val="-5"/>
          <w:szCs w:val="18"/>
        </w:rPr>
      </w:pPr>
      <w:r>
        <w:rPr>
          <w:noProof w:val="0"/>
        </w:rPr>
        <w:t>Module A:</w:t>
      </w:r>
      <w:r>
        <w:rPr>
          <w:i/>
          <w:noProof w:val="0"/>
          <w:szCs w:val="18"/>
        </w:rPr>
        <w:t xml:space="preserve"> </w:t>
      </w:r>
      <w:r>
        <w:rPr>
          <w:b/>
          <w:noProof w:val="0"/>
          <w:szCs w:val="18"/>
        </w:rPr>
        <w:t>Utopia</w:t>
      </w:r>
    </w:p>
    <w:p w14:paraId="43E7ECF4" w14:textId="2DAA16AF" w:rsidR="000C7416" w:rsidRPr="000C7416" w:rsidRDefault="000C7416" w:rsidP="000C7416">
      <w:pPr>
        <w:pStyle w:val="Testo1"/>
        <w:numPr>
          <w:ilvl w:val="0"/>
          <w:numId w:val="1"/>
        </w:numPr>
        <w:spacing w:before="0" w:line="240" w:lineRule="auto"/>
        <w:rPr>
          <w:rFonts w:cs="Times"/>
          <w:i/>
          <w:noProof w:val="0"/>
          <w:color w:val="000000" w:themeColor="text1"/>
          <w:szCs w:val="18"/>
        </w:rPr>
      </w:pPr>
      <w:r>
        <w:rPr>
          <w:noProof w:val="0"/>
          <w:color w:val="000000" w:themeColor="text1"/>
          <w:szCs w:val="18"/>
        </w:rPr>
        <w:t xml:space="preserve">T. </w:t>
      </w:r>
      <w:r>
        <w:rPr>
          <w:smallCaps/>
          <w:noProof w:val="0"/>
          <w:color w:val="000000" w:themeColor="text1"/>
          <w:szCs w:val="18"/>
        </w:rPr>
        <w:t>More</w:t>
      </w:r>
      <w:r>
        <w:rPr>
          <w:noProof w:val="0"/>
          <w:color w:val="000000" w:themeColor="text1"/>
          <w:szCs w:val="18"/>
        </w:rPr>
        <w:t xml:space="preserve">, </w:t>
      </w:r>
      <w:r>
        <w:rPr>
          <w:i/>
          <w:noProof w:val="0"/>
          <w:color w:val="000000" w:themeColor="text1"/>
          <w:szCs w:val="18"/>
        </w:rPr>
        <w:t>Utopia</w:t>
      </w:r>
      <w:r>
        <w:rPr>
          <w:noProof w:val="0"/>
          <w:color w:val="000000" w:themeColor="text1"/>
          <w:szCs w:val="18"/>
        </w:rPr>
        <w:t>;</w:t>
      </w:r>
      <w:r>
        <w:rPr>
          <w:i/>
          <w:noProof w:val="0"/>
          <w:color w:val="000000" w:themeColor="text1"/>
          <w:szCs w:val="18"/>
        </w:rPr>
        <w:t xml:space="preserve"> </w:t>
      </w:r>
      <w:r>
        <w:rPr>
          <w:noProof w:val="0"/>
          <w:color w:val="000000" w:themeColor="text1"/>
          <w:szCs w:val="18"/>
        </w:rPr>
        <w:t xml:space="preserve">K. </w:t>
      </w:r>
      <w:r>
        <w:rPr>
          <w:smallCaps/>
          <w:noProof w:val="0"/>
          <w:color w:val="000000" w:themeColor="text1"/>
          <w:szCs w:val="18"/>
        </w:rPr>
        <w:t>Mannheim</w:t>
      </w:r>
      <w:r>
        <w:rPr>
          <w:noProof w:val="0"/>
          <w:color w:val="000000" w:themeColor="text1"/>
          <w:szCs w:val="18"/>
        </w:rPr>
        <w:t xml:space="preserve">, </w:t>
      </w:r>
      <w:r>
        <w:rPr>
          <w:i/>
          <w:noProof w:val="0"/>
          <w:color w:val="000000" w:themeColor="text1"/>
          <w:szCs w:val="18"/>
        </w:rPr>
        <w:t>Ideologia e utopia</w:t>
      </w:r>
      <w:r>
        <w:rPr>
          <w:noProof w:val="0"/>
          <w:color w:val="000000" w:themeColor="text1"/>
          <w:szCs w:val="18"/>
        </w:rPr>
        <w:t xml:space="preserve">, chap. IV; V. </w:t>
      </w:r>
      <w:r>
        <w:rPr>
          <w:smallCaps/>
          <w:noProof w:val="0"/>
          <w:color w:val="000000" w:themeColor="text1"/>
          <w:szCs w:val="18"/>
        </w:rPr>
        <w:t>Melchiorre</w:t>
      </w:r>
      <w:r>
        <w:rPr>
          <w:noProof w:val="0"/>
          <w:color w:val="000000" w:themeColor="text1"/>
          <w:szCs w:val="18"/>
        </w:rPr>
        <w:t xml:space="preserve">, </w:t>
      </w:r>
      <w:r>
        <w:rPr>
          <w:i/>
          <w:noProof w:val="0"/>
          <w:color w:val="000000" w:themeColor="text1"/>
          <w:szCs w:val="18"/>
        </w:rPr>
        <w:t>La coscienza utopica</w:t>
      </w:r>
      <w:r>
        <w:rPr>
          <w:noProof w:val="0"/>
          <w:color w:val="000000" w:themeColor="text1"/>
          <w:szCs w:val="18"/>
        </w:rPr>
        <w:t xml:space="preserve">, introduction and chapter 3; P. </w:t>
      </w:r>
      <w:r>
        <w:rPr>
          <w:smallCaps/>
          <w:noProof w:val="0"/>
          <w:color w:val="000000" w:themeColor="text1"/>
          <w:szCs w:val="18"/>
        </w:rPr>
        <w:t>Ricoeur,</w:t>
      </w:r>
      <w:r>
        <w:rPr>
          <w:noProof w:val="0"/>
          <w:color w:val="000000" w:themeColor="text1"/>
          <w:szCs w:val="18"/>
        </w:rPr>
        <w:t xml:space="preserve"> </w:t>
      </w:r>
      <w:r>
        <w:rPr>
          <w:i/>
          <w:noProof w:val="0"/>
          <w:color w:val="000000" w:themeColor="text1"/>
          <w:szCs w:val="18"/>
        </w:rPr>
        <w:t xml:space="preserve">Conferenze su ideologia e utopia, </w:t>
      </w:r>
      <w:r>
        <w:rPr>
          <w:noProof w:val="0"/>
          <w:color w:val="000000" w:themeColor="text1"/>
          <w:szCs w:val="18"/>
        </w:rPr>
        <w:t>introductory lecture and second part</w:t>
      </w:r>
      <w:r>
        <w:rPr>
          <w:smallCaps/>
          <w:noProof w:val="0"/>
          <w:color w:val="000000" w:themeColor="text1"/>
          <w:szCs w:val="18"/>
        </w:rPr>
        <w:t>;  C. Danani</w:t>
      </w:r>
      <w:r>
        <w:rPr>
          <w:noProof w:val="0"/>
          <w:color w:val="000000" w:themeColor="text1"/>
          <w:szCs w:val="18"/>
        </w:rPr>
        <w:t xml:space="preserve">, </w:t>
      </w:r>
      <w:r>
        <w:rPr>
          <w:i/>
          <w:noProof w:val="0"/>
          <w:color w:val="000000" w:themeColor="text1"/>
          <w:szCs w:val="18"/>
        </w:rPr>
        <w:t>Éloge de l’utopie</w:t>
      </w:r>
      <w:r>
        <w:rPr>
          <w:noProof w:val="0"/>
          <w:color w:val="000000" w:themeColor="text1"/>
          <w:szCs w:val="18"/>
        </w:rPr>
        <w:t>, in Diogène, 2021/1 no. 273-274, pp. 35-52; materials on the Black</w:t>
      </w:r>
      <w:r w:rsidR="005D35A8">
        <w:rPr>
          <w:noProof w:val="0"/>
          <w:color w:val="000000" w:themeColor="text1"/>
          <w:szCs w:val="18"/>
        </w:rPr>
        <w:t>b</w:t>
      </w:r>
      <w:r>
        <w:rPr>
          <w:noProof w:val="0"/>
          <w:color w:val="000000" w:themeColor="text1"/>
          <w:szCs w:val="18"/>
        </w:rPr>
        <w:t>oard platform</w:t>
      </w:r>
    </w:p>
    <w:p w14:paraId="6EA79F6D" w14:textId="7EC7C63A" w:rsidR="000C7416" w:rsidRPr="000C7416" w:rsidRDefault="000C7416" w:rsidP="000C7416">
      <w:pPr>
        <w:pStyle w:val="Testo1"/>
        <w:spacing w:line="240" w:lineRule="auto"/>
        <w:rPr>
          <w:rFonts w:cs="Times"/>
          <w:noProof w:val="0"/>
          <w:szCs w:val="18"/>
        </w:rPr>
      </w:pPr>
      <w:r>
        <w:rPr>
          <w:noProof w:val="0"/>
        </w:rPr>
        <w:t xml:space="preserve">Practical classes: textual practices on A. </w:t>
      </w:r>
      <w:r>
        <w:rPr>
          <w:smallCaps/>
          <w:noProof w:val="0"/>
          <w:szCs w:val="18"/>
        </w:rPr>
        <w:t>Schopenhauer</w:t>
      </w:r>
      <w:r>
        <w:rPr>
          <w:noProof w:val="0"/>
        </w:rPr>
        <w:t xml:space="preserve">, </w:t>
      </w:r>
      <w:r>
        <w:rPr>
          <w:i/>
          <w:noProof w:val="0"/>
          <w:szCs w:val="18"/>
        </w:rPr>
        <w:t>Il fondamento della morale</w:t>
      </w:r>
      <w:r>
        <w:rPr>
          <w:noProof w:val="0"/>
        </w:rPr>
        <w:t>, on the syllabus.</w:t>
      </w:r>
    </w:p>
    <w:p w14:paraId="11587EF5" w14:textId="77777777" w:rsidR="000C7416" w:rsidRDefault="000C7416" w:rsidP="000C7416">
      <w:pPr>
        <w:spacing w:before="240" w:after="120"/>
        <w:rPr>
          <w:b/>
          <w:i/>
          <w:sz w:val="18"/>
        </w:rPr>
      </w:pPr>
      <w:r>
        <w:rPr>
          <w:b/>
          <w:i/>
          <w:sz w:val="18"/>
        </w:rPr>
        <w:t>TEACHING METHOD</w:t>
      </w:r>
    </w:p>
    <w:p w14:paraId="0CB276D6" w14:textId="4572914D" w:rsidR="000C7416" w:rsidRPr="000C7416" w:rsidRDefault="000C7416" w:rsidP="000C7416">
      <w:pPr>
        <w:pStyle w:val="Testo2"/>
        <w:rPr>
          <w:noProof w:val="0"/>
        </w:rPr>
      </w:pPr>
      <w:r>
        <w:rPr>
          <w:noProof w:val="0"/>
        </w:rPr>
        <w:t>Lectures and discussions in class and online, sometimes with the participation of guest speakers; use of the Blackboard platform; guided reading; practical classes; “reversed lectures” in which the students will present short written texts and presentations.</w:t>
      </w:r>
    </w:p>
    <w:p w14:paraId="0B0B3A99" w14:textId="77777777" w:rsidR="000C7416" w:rsidRDefault="000C7416" w:rsidP="000C7416">
      <w:pPr>
        <w:spacing w:before="240" w:after="120"/>
        <w:rPr>
          <w:b/>
          <w:i/>
          <w:sz w:val="18"/>
        </w:rPr>
      </w:pPr>
      <w:r>
        <w:rPr>
          <w:b/>
          <w:i/>
          <w:sz w:val="18"/>
        </w:rPr>
        <w:t>ASSESSMENT METHOD AND CRITERIA</w:t>
      </w:r>
    </w:p>
    <w:p w14:paraId="1C00395D" w14:textId="478DE90A" w:rsidR="000C7416" w:rsidRPr="000C7416" w:rsidRDefault="000C7416" w:rsidP="000C7416">
      <w:pPr>
        <w:pStyle w:val="Testo2"/>
        <w:rPr>
          <w:noProof w:val="0"/>
        </w:rPr>
      </w:pPr>
      <w:r>
        <w:rPr>
          <w:noProof w:val="0"/>
        </w:rPr>
        <w:lastRenderedPageBreak/>
        <w:t xml:space="preserve">Students will be assessed on the knowledge and skills they acquire: quantity and quality of knowledge, ability to understand, make connections and apply knowledge (links between concepts, problems and situations), communication (language skills and the ability to present and explain concepts, issues and content), autonomy of judgment and ability to interpret and develop ideas. Students will be assessed by means of an oral exam (with any papers submitted in advance) </w:t>
      </w:r>
      <w:r w:rsidR="005D35A8">
        <w:rPr>
          <w:noProof w:val="0"/>
        </w:rPr>
        <w:t xml:space="preserve">which </w:t>
      </w:r>
      <w:r>
        <w:rPr>
          <w:noProof w:val="0"/>
        </w:rPr>
        <w:t xml:space="preserve">focuses on the syllabus (reading list, lectures and materials available on Blackboard). The final mark is out of 30 and reflects accuracy of knowledge (60%), argumentation and discursive skills (40%), </w:t>
      </w:r>
      <w:r w:rsidR="000471AF">
        <w:rPr>
          <w:noProof w:val="0"/>
        </w:rPr>
        <w:t xml:space="preserve">and the </w:t>
      </w:r>
      <w:r>
        <w:rPr>
          <w:noProof w:val="0"/>
        </w:rPr>
        <w:t>ability to interpret and develop content (</w:t>
      </w:r>
      <w:r>
        <w:rPr>
          <w:i/>
          <w:iCs/>
          <w:noProof w:val="0"/>
        </w:rPr>
        <w:t>lode</w:t>
      </w:r>
      <w:r>
        <w:rPr>
          <w:noProof w:val="0"/>
        </w:rPr>
        <w:t xml:space="preserve">).  </w:t>
      </w:r>
    </w:p>
    <w:p w14:paraId="48D3BEE5" w14:textId="77777777" w:rsidR="000C7416" w:rsidRDefault="000C7416" w:rsidP="000C7416">
      <w:pPr>
        <w:spacing w:before="240" w:after="120"/>
        <w:rPr>
          <w:b/>
          <w:i/>
          <w:sz w:val="18"/>
        </w:rPr>
      </w:pPr>
      <w:r>
        <w:rPr>
          <w:b/>
          <w:i/>
          <w:sz w:val="18"/>
        </w:rPr>
        <w:t>NOTES AND PREREQUISITES</w:t>
      </w:r>
    </w:p>
    <w:p w14:paraId="211AD843" w14:textId="77777777" w:rsidR="00434B57" w:rsidRPr="00434B57" w:rsidRDefault="00434B57" w:rsidP="00434B57">
      <w:pPr>
        <w:pStyle w:val="Testo2"/>
        <w:rPr>
          <w:noProof w:val="0"/>
        </w:rPr>
      </w:pPr>
      <w:r>
        <w:rPr>
          <w:noProof w:val="0"/>
        </w:rPr>
        <w:t xml:space="preserve">There are no prerequisites for this course. </w:t>
      </w:r>
    </w:p>
    <w:p w14:paraId="2983BEEF" w14:textId="3CEC9874" w:rsidR="00434B57" w:rsidRPr="009259BA" w:rsidRDefault="009259BA" w:rsidP="009259BA">
      <w:pPr>
        <w:pStyle w:val="Testo2"/>
        <w:rPr>
          <w:noProof w:val="0"/>
          <w:szCs w:val="18"/>
        </w:rPr>
      </w:pPr>
      <w:r>
        <w:rPr>
          <w:noProof w:val="0"/>
        </w:rPr>
        <w:t xml:space="preserve">Further information can be found on the lecturer's webpage at http://docenti.unicatt.it/web/searchByName.do?language=ENG or on the Faculty notice board.  </w:t>
      </w:r>
    </w:p>
    <w:sectPr w:rsidR="00434B57" w:rsidRPr="009259B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6299"/>
    <w:multiLevelType w:val="hybridMultilevel"/>
    <w:tmpl w:val="21181956"/>
    <w:lvl w:ilvl="0" w:tplc="49942636">
      <w:start w:val="1"/>
      <w:numFmt w:val="decimal"/>
      <w:lvlText w:val="%1."/>
      <w:lvlJc w:val="left"/>
      <w:pPr>
        <w:ind w:left="720" w:hanging="360"/>
      </w:pPr>
      <w:rPr>
        <w:rFonts w:ascii="Times" w:eastAsia="Times New Roman" w:hAnsi="Times" w:cs="Time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9862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9"/>
    <w:rsid w:val="000471AF"/>
    <w:rsid w:val="000C7416"/>
    <w:rsid w:val="00187B99"/>
    <w:rsid w:val="002014DD"/>
    <w:rsid w:val="00256C3C"/>
    <w:rsid w:val="002C2CD9"/>
    <w:rsid w:val="002D5E17"/>
    <w:rsid w:val="00434B57"/>
    <w:rsid w:val="004D1217"/>
    <w:rsid w:val="004D6008"/>
    <w:rsid w:val="00555330"/>
    <w:rsid w:val="005D35A8"/>
    <w:rsid w:val="00640794"/>
    <w:rsid w:val="0068284B"/>
    <w:rsid w:val="006F1772"/>
    <w:rsid w:val="008942E7"/>
    <w:rsid w:val="008A1204"/>
    <w:rsid w:val="00900CCA"/>
    <w:rsid w:val="00924B77"/>
    <w:rsid w:val="009259BA"/>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B001B"/>
  <w15:chartTrackingRefBased/>
  <w15:docId w15:val="{0B69E0D2-B232-4D24-9FE2-E117DF0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C74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C7416"/>
    <w:pPr>
      <w:tabs>
        <w:tab w:val="clear" w:pos="284"/>
      </w:tabs>
      <w:ind w:left="720"/>
      <w:contextualSpacing/>
    </w:pPr>
    <w:rPr>
      <w:rFonts w:eastAsia="MS Mincho"/>
    </w:rPr>
  </w:style>
  <w:style w:type="character" w:customStyle="1" w:styleId="Testo2Carattere">
    <w:name w:val="Testo 2 Carattere"/>
    <w:basedOn w:val="Carpredefinitoparagrafo"/>
    <w:link w:val="Testo2"/>
    <w:locked/>
    <w:rsid w:val="000C7416"/>
    <w:rPr>
      <w:rFonts w:ascii="Times" w:hAnsi="Times"/>
      <w:noProof/>
      <w:sz w:val="18"/>
    </w:rPr>
  </w:style>
  <w:style w:type="character" w:styleId="Collegamentoipertestuale">
    <w:name w:val="Hyperlink"/>
    <w:basedOn w:val="Carpredefinitoparagrafo"/>
    <w:unhideWhenUsed/>
    <w:rsid w:val="00434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298">
      <w:bodyDiv w:val="1"/>
      <w:marLeft w:val="0"/>
      <w:marRight w:val="0"/>
      <w:marTop w:val="0"/>
      <w:marBottom w:val="0"/>
      <w:divBdr>
        <w:top w:val="none" w:sz="0" w:space="0" w:color="auto"/>
        <w:left w:val="none" w:sz="0" w:space="0" w:color="auto"/>
        <w:bottom w:val="none" w:sz="0" w:space="0" w:color="auto"/>
        <w:right w:val="none" w:sz="0" w:space="0" w:color="auto"/>
      </w:divBdr>
    </w:div>
    <w:div w:id="1466578759">
      <w:bodyDiv w:val="1"/>
      <w:marLeft w:val="0"/>
      <w:marRight w:val="0"/>
      <w:marTop w:val="0"/>
      <w:marBottom w:val="0"/>
      <w:divBdr>
        <w:top w:val="none" w:sz="0" w:space="0" w:color="auto"/>
        <w:left w:val="none" w:sz="0" w:space="0" w:color="auto"/>
        <w:bottom w:val="none" w:sz="0" w:space="0" w:color="auto"/>
        <w:right w:val="none" w:sz="0" w:space="0" w:color="auto"/>
      </w:divBdr>
    </w:div>
    <w:div w:id="1678920727">
      <w:bodyDiv w:val="1"/>
      <w:marLeft w:val="0"/>
      <w:marRight w:val="0"/>
      <w:marTop w:val="0"/>
      <w:marBottom w:val="0"/>
      <w:divBdr>
        <w:top w:val="none" w:sz="0" w:space="0" w:color="auto"/>
        <w:left w:val="none" w:sz="0" w:space="0" w:color="auto"/>
        <w:bottom w:val="none" w:sz="0" w:space="0" w:color="auto"/>
        <w:right w:val="none" w:sz="0" w:space="0" w:color="auto"/>
      </w:divBdr>
    </w:div>
    <w:div w:id="1704793118">
      <w:bodyDiv w:val="1"/>
      <w:marLeft w:val="0"/>
      <w:marRight w:val="0"/>
      <w:marTop w:val="0"/>
      <w:marBottom w:val="0"/>
      <w:divBdr>
        <w:top w:val="none" w:sz="0" w:space="0" w:color="auto"/>
        <w:left w:val="none" w:sz="0" w:space="0" w:color="auto"/>
        <w:bottom w:val="none" w:sz="0" w:space="0" w:color="auto"/>
        <w:right w:val="none" w:sz="0" w:space="0" w:color="auto"/>
      </w:divBdr>
    </w:div>
    <w:div w:id="19223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459</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2023-07-04T11:36:00Z</dcterms:created>
  <dcterms:modified xsi:type="dcterms:W3CDTF">2024-01-10T08:32:00Z</dcterms:modified>
</cp:coreProperties>
</file>