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AE52" w14:textId="77777777" w:rsidR="00C72EE6" w:rsidRPr="00204E04" w:rsidRDefault="00C72EE6" w:rsidP="00C72EE6">
      <w:pPr>
        <w:pStyle w:val="Titolo1"/>
        <w:rPr>
          <w:noProof w:val="0"/>
        </w:rPr>
      </w:pPr>
      <w:r>
        <w:rPr>
          <w:noProof w:val="0"/>
        </w:rPr>
        <w:t>Social Ethics and Public Space</w:t>
      </w:r>
    </w:p>
    <w:p w14:paraId="6F92D2BB" w14:textId="77777777" w:rsidR="007D1F77" w:rsidRPr="00C467FA" w:rsidRDefault="007D1F77" w:rsidP="007D1F77">
      <w:pPr>
        <w:pStyle w:val="Titolo2"/>
        <w:rPr>
          <w:rFonts w:ascii="Times New Roman" w:hAnsi="Times New Roman"/>
          <w:noProof w:val="0"/>
          <w:szCs w:val="18"/>
        </w:rPr>
      </w:pPr>
      <w:r>
        <w:rPr>
          <w:rFonts w:ascii="Times New Roman" w:hAnsi="Times New Roman"/>
          <w:noProof w:val="0"/>
          <w:szCs w:val="18"/>
        </w:rPr>
        <w:t>Prof. Paolo Scolari</w:t>
      </w:r>
    </w:p>
    <w:p w14:paraId="45D4BAED" w14:textId="37F63EDB" w:rsidR="00784D2A" w:rsidRPr="00784D2A" w:rsidRDefault="00784D2A" w:rsidP="007D1F77">
      <w:pPr>
        <w:spacing w:before="240" w:after="120" w:line="240" w:lineRule="exact"/>
        <w:rPr>
          <w:bCs/>
          <w:iCs/>
          <w:sz w:val="18"/>
          <w:szCs w:val="18"/>
        </w:rPr>
      </w:pPr>
      <w:r>
        <w:rPr>
          <w:bCs/>
          <w:iCs/>
          <w:sz w:val="18"/>
          <w:szCs w:val="18"/>
        </w:rPr>
        <w:t>[The course is taken from the degree course in MEDIA LANGUAGE, with the title “</w:t>
      </w:r>
      <w:r>
        <w:rPr>
          <w:bCs/>
          <w:i/>
          <w:sz w:val="18"/>
          <w:szCs w:val="18"/>
        </w:rPr>
        <w:t>Etica sociale</w:t>
      </w:r>
      <w:r>
        <w:rPr>
          <w:bCs/>
          <w:iCs/>
          <w:sz w:val="18"/>
          <w:szCs w:val="18"/>
        </w:rPr>
        <w:t>”]</w:t>
      </w:r>
    </w:p>
    <w:p w14:paraId="6EAB3EAD" w14:textId="4B8B8694" w:rsidR="007D1F77" w:rsidRPr="000525B1" w:rsidRDefault="007D1F77" w:rsidP="007D1F77">
      <w:pPr>
        <w:spacing w:before="240" w:after="120" w:line="240" w:lineRule="exact"/>
        <w:rPr>
          <w:b/>
          <w:i/>
          <w:sz w:val="18"/>
          <w:szCs w:val="18"/>
        </w:rPr>
      </w:pPr>
      <w:r w:rsidRPr="000525B1">
        <w:rPr>
          <w:b/>
          <w:i/>
          <w:sz w:val="18"/>
          <w:szCs w:val="18"/>
        </w:rPr>
        <w:t>COURSE AIMS AND INTENDED LEARNING OUTCOMES</w:t>
      </w:r>
    </w:p>
    <w:p w14:paraId="3A905EAC" w14:textId="75F491E4" w:rsidR="007D1F77" w:rsidRPr="00627F00" w:rsidRDefault="007D1F77" w:rsidP="007D1F77">
      <w:pPr>
        <w:spacing w:line="240" w:lineRule="exact"/>
        <w:rPr>
          <w:szCs w:val="20"/>
        </w:rPr>
      </w:pPr>
      <w:r>
        <w:t xml:space="preserve">The course aims to enable students to analyse and understand significant concepts, structures and dynamics related to being with others, through hermeneutic, phenomenological, conceptual and dialectic-problematic tools of social ethics and public space. At the end of the course, students must demonstrate knowledge and understanding of the topics, theories and texts on the syllabus, with a view to autonomous, creative and professional development; they will know and be able to discuss the fundamental problems of social ethics and public space, express themselves using specialist vocabulary, develop the contents of the discipline in an original way, and apply specific interpretative, argumentative and communicative skills. </w:t>
      </w:r>
    </w:p>
    <w:p w14:paraId="4F8CAEA5" w14:textId="2FDB1B04" w:rsidR="007D1F77" w:rsidRPr="000525B1" w:rsidRDefault="007D1F77" w:rsidP="00A62A08">
      <w:pPr>
        <w:spacing w:before="240" w:after="120" w:line="240" w:lineRule="exact"/>
        <w:rPr>
          <w:b/>
          <w:i/>
          <w:sz w:val="18"/>
          <w:szCs w:val="18"/>
        </w:rPr>
      </w:pPr>
      <w:r w:rsidRPr="000525B1">
        <w:rPr>
          <w:b/>
          <w:i/>
          <w:sz w:val="18"/>
          <w:szCs w:val="18"/>
        </w:rPr>
        <w:t>COURSE CONTENT AND READING LIST</w:t>
      </w:r>
    </w:p>
    <w:p w14:paraId="5E07E075" w14:textId="3E8B75A3" w:rsidR="00700427" w:rsidRPr="00700427" w:rsidRDefault="00700427" w:rsidP="00C467FA">
      <w:pPr>
        <w:spacing w:line="240" w:lineRule="exact"/>
        <w:rPr>
          <w:bCs/>
          <w:i/>
          <w:szCs w:val="20"/>
        </w:rPr>
      </w:pPr>
      <w:r>
        <w:rPr>
          <w:bCs/>
          <w:i/>
          <w:szCs w:val="20"/>
        </w:rPr>
        <w:t>For philosophy</w:t>
      </w:r>
    </w:p>
    <w:p w14:paraId="2EBE94E8" w14:textId="006D03D7" w:rsidR="00044AA9" w:rsidRPr="002E3F99" w:rsidRDefault="005E74CF" w:rsidP="00044AA9">
      <w:pPr>
        <w:pStyle w:val="Paragrafoelenco"/>
        <w:numPr>
          <w:ilvl w:val="0"/>
          <w:numId w:val="3"/>
        </w:numPr>
        <w:spacing w:line="240" w:lineRule="exact"/>
        <w:ind w:left="284" w:hanging="284"/>
        <w:rPr>
          <w:rFonts w:ascii="Times" w:hAnsi="Times" w:cs="Times"/>
          <w:szCs w:val="20"/>
        </w:rPr>
      </w:pPr>
      <w:r>
        <w:t xml:space="preserve">Public spaces. Communities/societies: </w:t>
      </w:r>
      <w:r>
        <w:rPr>
          <w:rFonts w:ascii="Times" w:hAnsi="Times"/>
          <w:szCs w:val="20"/>
        </w:rPr>
        <w:t>H. Plessner, I limiti della comunità. Per una critica del radicalismo sociale, Laterza, Rome-Bari 2001 (parts/themes; see Blackboard).</w:t>
      </w:r>
    </w:p>
    <w:p w14:paraId="669C4DC1" w14:textId="2D3B40FF" w:rsidR="009B5F38" w:rsidRPr="00B52F8D" w:rsidRDefault="00C17B2E" w:rsidP="009B5F38">
      <w:pPr>
        <w:pStyle w:val="Paragrafoelenco"/>
        <w:numPr>
          <w:ilvl w:val="0"/>
          <w:numId w:val="3"/>
        </w:numPr>
        <w:spacing w:line="240" w:lineRule="exact"/>
        <w:ind w:left="284" w:hanging="284"/>
        <w:rPr>
          <w:i/>
          <w:iCs/>
          <w:szCs w:val="20"/>
        </w:rPr>
      </w:pPr>
      <w:r>
        <w:t xml:space="preserve">Ethics of the </w:t>
      </w:r>
      <w:r>
        <w:rPr>
          <w:i/>
          <w:iCs/>
        </w:rPr>
        <w:t>piazza</w:t>
      </w:r>
      <w:r>
        <w:t xml:space="preserve">: </w:t>
      </w:r>
      <w:r>
        <w:rPr>
          <w:rFonts w:ascii="Times" w:hAnsi="Times"/>
          <w:szCs w:val="20"/>
        </w:rPr>
        <w:t>F. Nietzsche, Così parlò Zarathustra, Adelphi, Milan 1976 (Prologo and Libro I); P. Scolari, Nietzsche. Fenomenologo del quotidiano, Castelvecchi, Rome 2021 (chapter 6).</w:t>
      </w:r>
    </w:p>
    <w:p w14:paraId="01D1E3EB" w14:textId="318471E7" w:rsidR="00B52F8D" w:rsidRPr="00A148BD" w:rsidRDefault="00166A7F" w:rsidP="009B5F38">
      <w:pPr>
        <w:pStyle w:val="Paragrafoelenco"/>
        <w:numPr>
          <w:ilvl w:val="0"/>
          <w:numId w:val="3"/>
        </w:numPr>
        <w:spacing w:line="240" w:lineRule="exact"/>
        <w:ind w:left="284" w:hanging="284"/>
        <w:rPr>
          <w:i/>
          <w:iCs/>
          <w:szCs w:val="20"/>
        </w:rPr>
      </w:pPr>
      <w:r>
        <w:t xml:space="preserve">Gregarious places and phenomenology of daily life: </w:t>
      </w:r>
      <w:r>
        <w:rPr>
          <w:rFonts w:ascii="Times" w:hAnsi="Times"/>
          <w:szCs w:val="20"/>
        </w:rPr>
        <w:t>P. Scolari, Nietzsche. Fenomenologo del quotidiano, Castelvecchi, Rome 2021 (chapter</w:t>
      </w:r>
      <w:r w:rsidR="006D1F42">
        <w:rPr>
          <w:rFonts w:ascii="Times" w:hAnsi="Times"/>
          <w:szCs w:val="20"/>
        </w:rPr>
        <w:t>s</w:t>
      </w:r>
      <w:r>
        <w:rPr>
          <w:rFonts w:ascii="Times" w:hAnsi="Times"/>
          <w:szCs w:val="20"/>
        </w:rPr>
        <w:t xml:space="preserve"> 4, 5, 7).</w:t>
      </w:r>
    </w:p>
    <w:p w14:paraId="00179A37" w14:textId="23704271" w:rsidR="00A148BD" w:rsidRPr="00A72143" w:rsidRDefault="00831CF6" w:rsidP="00A72143">
      <w:pPr>
        <w:pStyle w:val="Paragrafoelenco"/>
        <w:numPr>
          <w:ilvl w:val="0"/>
          <w:numId w:val="3"/>
        </w:numPr>
        <w:spacing w:line="240" w:lineRule="exact"/>
        <w:ind w:left="284" w:hanging="284"/>
        <w:rPr>
          <w:rFonts w:ascii="Times" w:hAnsi="Times" w:cs="Times"/>
          <w:szCs w:val="20"/>
        </w:rPr>
      </w:pPr>
      <w:r>
        <w:rPr>
          <w:rFonts w:ascii="Times" w:hAnsi="Times"/>
          <w:szCs w:val="20"/>
        </w:rPr>
        <w:t>Being with others: M. Heidegger, Essere e tempo, Longanesi, Milan 2005 (particolarly §§ 25-27); K. Löwith, L’individuo nel ruolo del co-uomo, Guida, Naples 2007 (parts/themes; see Blackboard).</w:t>
      </w:r>
    </w:p>
    <w:p w14:paraId="4468018D" w14:textId="70FC424F" w:rsidR="002B5DEF" w:rsidRPr="009E0E20" w:rsidRDefault="002B5DEF" w:rsidP="00C467FA">
      <w:pPr>
        <w:spacing w:before="120" w:line="240" w:lineRule="exact"/>
        <w:rPr>
          <w:i/>
          <w:iCs/>
          <w:szCs w:val="20"/>
        </w:rPr>
      </w:pPr>
      <w:r>
        <w:rPr>
          <w:i/>
          <w:iCs/>
          <w:szCs w:val="20"/>
        </w:rPr>
        <w:t>Other degree courses</w:t>
      </w:r>
    </w:p>
    <w:p w14:paraId="5894A905" w14:textId="41810DD7" w:rsidR="002B5DEF" w:rsidRDefault="00700427" w:rsidP="009B5F38">
      <w:pPr>
        <w:spacing w:line="240" w:lineRule="exact"/>
        <w:rPr>
          <w:szCs w:val="20"/>
        </w:rPr>
      </w:pPr>
      <w:r>
        <w:t xml:space="preserve">Faculty to replace point 4 of the syllabus with either part 2, 3 or 4 of F. Nietzsche's </w:t>
      </w:r>
      <w:r>
        <w:rPr>
          <w:i/>
          <w:iCs/>
        </w:rPr>
        <w:t>Così parlò Zarathustra</w:t>
      </w:r>
      <w:r>
        <w:t xml:space="preserve">, or chapter 1, 2 or 3 from </w:t>
      </w:r>
      <w:r>
        <w:rPr>
          <w:i/>
          <w:iCs/>
        </w:rPr>
        <w:t>Nietzsche.</w:t>
      </w:r>
      <w:r>
        <w:rPr>
          <w:i/>
          <w:iCs/>
        </w:rPr>
        <w:cr/>
      </w:r>
      <w:r>
        <w:rPr>
          <w:i/>
          <w:iCs/>
        </w:rPr>
        <w:br/>
        <w:t>Fenomenologo del quotidiano</w:t>
      </w:r>
      <w:r>
        <w:t xml:space="preserve"> by P. Scolari. </w:t>
      </w:r>
    </w:p>
    <w:p w14:paraId="1137A58C" w14:textId="693C9E0E" w:rsidR="007D1F77" w:rsidRPr="009B5F38" w:rsidRDefault="007D1F77" w:rsidP="00C467FA">
      <w:pPr>
        <w:spacing w:before="120" w:line="240" w:lineRule="exact"/>
        <w:rPr>
          <w:i/>
          <w:iCs/>
          <w:szCs w:val="20"/>
        </w:rPr>
      </w:pPr>
      <w:r>
        <w:rPr>
          <w:i/>
          <w:iCs/>
          <w:szCs w:val="20"/>
        </w:rPr>
        <w:lastRenderedPageBreak/>
        <w:t>Further reading, courses, papers</w:t>
      </w:r>
    </w:p>
    <w:p w14:paraId="1ED69B84" w14:textId="3B7FE586" w:rsidR="007D1F77" w:rsidRDefault="007D1F77" w:rsidP="007D1F77">
      <w:pPr>
        <w:spacing w:line="240" w:lineRule="exact"/>
        <w:rPr>
          <w:szCs w:val="20"/>
        </w:rPr>
      </w:pPr>
      <w:r>
        <w:t>Students are free to pursue the subject individually through appropriate further reading, related courses and original papers.  Elements already on the syllabus count if personalised.</w:t>
      </w:r>
    </w:p>
    <w:p w14:paraId="2A18DE83" w14:textId="77777777" w:rsidR="007D1F77" w:rsidRPr="000525B1" w:rsidRDefault="007D1F77" w:rsidP="007D1F77">
      <w:pPr>
        <w:spacing w:before="240" w:after="120"/>
        <w:rPr>
          <w:b/>
          <w:i/>
          <w:sz w:val="18"/>
          <w:szCs w:val="18"/>
        </w:rPr>
      </w:pPr>
      <w:r w:rsidRPr="000525B1">
        <w:rPr>
          <w:b/>
          <w:i/>
          <w:sz w:val="18"/>
          <w:szCs w:val="18"/>
        </w:rPr>
        <w:t>TEACHING METHOD</w:t>
      </w:r>
    </w:p>
    <w:p w14:paraId="171D0CFA" w14:textId="0BA162FD" w:rsidR="007D1F77" w:rsidRPr="00C467FA" w:rsidRDefault="007D1F77" w:rsidP="005E74CF">
      <w:pPr>
        <w:pStyle w:val="Testo2"/>
        <w:ind w:firstLine="0"/>
        <w:rPr>
          <w:rFonts w:ascii="Times New Roman" w:hAnsi="Times New Roman"/>
          <w:noProof w:val="0"/>
          <w:szCs w:val="18"/>
        </w:rPr>
      </w:pPr>
      <w:r>
        <w:rPr>
          <w:rFonts w:ascii="Times New Roman" w:hAnsi="Times New Roman"/>
          <w:noProof w:val="0"/>
          <w:szCs w:val="18"/>
        </w:rPr>
        <w:t>Frontal lectures in class; discussions; online resources.</w:t>
      </w:r>
    </w:p>
    <w:p w14:paraId="50878DF0" w14:textId="25F66CC1" w:rsidR="007D1F77" w:rsidRPr="000525B1" w:rsidRDefault="007D1F77" w:rsidP="007D1F77">
      <w:pPr>
        <w:spacing w:before="240" w:after="120"/>
        <w:rPr>
          <w:b/>
          <w:i/>
          <w:sz w:val="18"/>
          <w:szCs w:val="18"/>
        </w:rPr>
      </w:pPr>
      <w:r w:rsidRPr="000525B1">
        <w:rPr>
          <w:b/>
          <w:i/>
          <w:sz w:val="18"/>
          <w:szCs w:val="18"/>
        </w:rPr>
        <w:t>ASSESSMENT METHOD AND CRITERIA</w:t>
      </w:r>
    </w:p>
    <w:p w14:paraId="7B5D1616" w14:textId="77777777" w:rsidR="007D1F77" w:rsidRPr="00C467FA" w:rsidRDefault="007D1F77" w:rsidP="000525B1">
      <w:pPr>
        <w:pStyle w:val="Testo2"/>
        <w:rPr>
          <w:rFonts w:ascii="Times New Roman" w:hAnsi="Times New Roman"/>
          <w:noProof w:val="0"/>
          <w:szCs w:val="18"/>
        </w:rPr>
      </w:pPr>
      <w:r>
        <w:rPr>
          <w:rFonts w:ascii="Times New Roman" w:hAnsi="Times New Roman"/>
          <w:noProof w:val="0"/>
          <w:szCs w:val="18"/>
        </w:rPr>
        <w:t>The expected learning outcomes are reflected in the assessment criteria: ability to learn and understand (methodical and critical learning of the subject), ability to make connections and apply knowledge (links between concepts, problems and situations), communication and language skills (grasp, presentation and explanation of concepts, issues, and content), independence of judgement and capacity to interpret and develop ideas (textual hermeneutics, personal learning, original reasoning and development).</w:t>
      </w:r>
    </w:p>
    <w:p w14:paraId="3D254B65" w14:textId="1F7714C1" w:rsidR="007D1F77" w:rsidRPr="00C467FA" w:rsidRDefault="007D1F77" w:rsidP="000525B1">
      <w:pPr>
        <w:pStyle w:val="Testo2"/>
        <w:spacing w:before="120"/>
        <w:rPr>
          <w:rFonts w:ascii="Times New Roman" w:hAnsi="Times New Roman"/>
          <w:noProof w:val="0"/>
          <w:szCs w:val="18"/>
        </w:rPr>
      </w:pPr>
      <w:r>
        <w:rPr>
          <w:rFonts w:ascii="Times New Roman" w:hAnsi="Times New Roman"/>
          <w:noProof w:val="0"/>
          <w:szCs w:val="18"/>
        </w:rPr>
        <w:t xml:space="preserve">Students will be assessed by means of an oral exam (subject to submission of papers) which focuses on the overall </w:t>
      </w:r>
      <w:r w:rsidR="001F0F2E">
        <w:rPr>
          <w:rFonts w:ascii="Times New Roman" w:hAnsi="Times New Roman"/>
          <w:noProof w:val="0"/>
          <w:szCs w:val="18"/>
        </w:rPr>
        <w:t xml:space="preserve">concepts </w:t>
      </w:r>
      <w:r>
        <w:rPr>
          <w:rFonts w:ascii="Times New Roman" w:hAnsi="Times New Roman"/>
          <w:noProof w:val="0"/>
          <w:szCs w:val="18"/>
        </w:rPr>
        <w:t xml:space="preserve">and details of: the contents of the syllabus, reading list, lectures and online materials (Blackboard). The final mark (out of 30) will reflect the accuracy and quality of answers (70%), relevant argumentational and discursive skills (30%): </w:t>
      </w:r>
      <w:r>
        <w:rPr>
          <w:rFonts w:ascii="Times New Roman" w:hAnsi="Times New Roman"/>
          <w:i/>
          <w:iCs/>
          <w:noProof w:val="0"/>
          <w:szCs w:val="18"/>
        </w:rPr>
        <w:t>lode</w:t>
      </w:r>
      <w:r>
        <w:rPr>
          <w:rFonts w:ascii="Times New Roman" w:hAnsi="Times New Roman"/>
          <w:noProof w:val="0"/>
          <w:szCs w:val="18"/>
        </w:rPr>
        <w:t xml:space="preserve"> will be awarded for students who demonstrate a particularly high degree of consistency and autonomy.</w:t>
      </w:r>
    </w:p>
    <w:p w14:paraId="5ACA2FD7" w14:textId="77777777" w:rsidR="007D1F77" w:rsidRPr="000525B1" w:rsidRDefault="007D1F77" w:rsidP="007D1F77">
      <w:pPr>
        <w:spacing w:before="240" w:after="120" w:line="240" w:lineRule="exact"/>
        <w:rPr>
          <w:b/>
          <w:i/>
          <w:sz w:val="18"/>
          <w:szCs w:val="18"/>
        </w:rPr>
      </w:pPr>
      <w:r w:rsidRPr="000525B1">
        <w:rPr>
          <w:b/>
          <w:i/>
          <w:sz w:val="18"/>
          <w:szCs w:val="18"/>
        </w:rPr>
        <w:t>NOTES AND PREREQUISITES</w:t>
      </w:r>
    </w:p>
    <w:p w14:paraId="4C202BB6" w14:textId="4FBECEF5" w:rsidR="007D1F77" w:rsidRPr="00C467FA" w:rsidRDefault="00D83AC0" w:rsidP="005F55E5">
      <w:pPr>
        <w:pStyle w:val="Testo2"/>
        <w:ind w:firstLine="0"/>
        <w:rPr>
          <w:rFonts w:ascii="Times New Roman" w:hAnsi="Times New Roman"/>
          <w:noProof w:val="0"/>
          <w:szCs w:val="18"/>
        </w:rPr>
      </w:pPr>
      <w:r>
        <w:rPr>
          <w:rFonts w:ascii="Times New Roman" w:hAnsi="Times New Roman"/>
          <w:noProof w:val="0"/>
          <w:szCs w:val="18"/>
        </w:rPr>
        <w:t>As this is a basic course, it has no prerequisites.</w:t>
      </w:r>
    </w:p>
    <w:p w14:paraId="10787A9F" w14:textId="437DD540" w:rsidR="00FE13F6" w:rsidRPr="00C72EE6" w:rsidRDefault="00C72EE6" w:rsidP="00C72EE6">
      <w:pPr>
        <w:tabs>
          <w:tab w:val="clear" w:pos="284"/>
        </w:tabs>
        <w:ind w:firstLine="284"/>
        <w:rPr>
          <w:rFonts w:ascii="Times" w:hAnsi="Times"/>
          <w:sz w:val="16"/>
          <w:szCs w:val="20"/>
        </w:rPr>
      </w:pPr>
      <w:r>
        <w:rPr>
          <w:sz w:val="18"/>
        </w:rPr>
        <w:t>Further information can be found on the lecturer's webpage at http://docenti.unicatt.it/web/searchByName.do?language=ENG</w:t>
      </w:r>
    </w:p>
    <w:sectPr w:rsidR="00FE13F6" w:rsidRPr="00C72EE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71"/>
    <w:multiLevelType w:val="hybridMultilevel"/>
    <w:tmpl w:val="3BA6AC14"/>
    <w:lvl w:ilvl="0" w:tplc="3022D81A">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6B0479"/>
    <w:multiLevelType w:val="hybridMultilevel"/>
    <w:tmpl w:val="A224EF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617483"/>
    <w:multiLevelType w:val="hybridMultilevel"/>
    <w:tmpl w:val="6B1C7C4E"/>
    <w:lvl w:ilvl="0" w:tplc="515EFFE8">
      <w:start w:val="1"/>
      <w:numFmt w:val="decimal"/>
      <w:lvlText w:val="%1."/>
      <w:lvlJc w:val="left"/>
      <w:pPr>
        <w:tabs>
          <w:tab w:val="num" w:pos="720"/>
        </w:tabs>
        <w:ind w:left="720" w:hanging="360"/>
      </w:pPr>
      <w:rPr>
        <w:rFonts w:hint="default"/>
        <w:b w:val="0"/>
        <w:bCs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39274476">
    <w:abstractNumId w:val="2"/>
  </w:num>
  <w:num w:numId="2" w16cid:durableId="1225794180">
    <w:abstractNumId w:val="1"/>
  </w:num>
  <w:num w:numId="3" w16cid:durableId="207739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D3"/>
    <w:rsid w:val="00000E5F"/>
    <w:rsid w:val="00023E00"/>
    <w:rsid w:val="00044AA9"/>
    <w:rsid w:val="000525B1"/>
    <w:rsid w:val="00071CAA"/>
    <w:rsid w:val="000762CA"/>
    <w:rsid w:val="00082490"/>
    <w:rsid w:val="0008533B"/>
    <w:rsid w:val="00096E59"/>
    <w:rsid w:val="00097B07"/>
    <w:rsid w:val="000A378D"/>
    <w:rsid w:val="000C3E4E"/>
    <w:rsid w:val="000D48F0"/>
    <w:rsid w:val="001023A1"/>
    <w:rsid w:val="00131DC9"/>
    <w:rsid w:val="0013217F"/>
    <w:rsid w:val="00143A1B"/>
    <w:rsid w:val="001513FC"/>
    <w:rsid w:val="00166A7F"/>
    <w:rsid w:val="00187B99"/>
    <w:rsid w:val="001A1CC4"/>
    <w:rsid w:val="001A30AC"/>
    <w:rsid w:val="001A40CE"/>
    <w:rsid w:val="001D4293"/>
    <w:rsid w:val="001E01DF"/>
    <w:rsid w:val="001F0F2E"/>
    <w:rsid w:val="001F7259"/>
    <w:rsid w:val="002014DD"/>
    <w:rsid w:val="002018CD"/>
    <w:rsid w:val="002113B1"/>
    <w:rsid w:val="0023190E"/>
    <w:rsid w:val="002454B2"/>
    <w:rsid w:val="00254A05"/>
    <w:rsid w:val="00264994"/>
    <w:rsid w:val="00282F52"/>
    <w:rsid w:val="0029401E"/>
    <w:rsid w:val="0029512F"/>
    <w:rsid w:val="002951AE"/>
    <w:rsid w:val="002A45B1"/>
    <w:rsid w:val="002B1F78"/>
    <w:rsid w:val="002B4AD3"/>
    <w:rsid w:val="002B5DEF"/>
    <w:rsid w:val="002B67F6"/>
    <w:rsid w:val="002C0CDC"/>
    <w:rsid w:val="002C7F18"/>
    <w:rsid w:val="002D3C03"/>
    <w:rsid w:val="002D5E17"/>
    <w:rsid w:val="002E1019"/>
    <w:rsid w:val="00310DDB"/>
    <w:rsid w:val="00350F93"/>
    <w:rsid w:val="00374713"/>
    <w:rsid w:val="003A2392"/>
    <w:rsid w:val="003A7D03"/>
    <w:rsid w:val="003B1FB7"/>
    <w:rsid w:val="0044652D"/>
    <w:rsid w:val="004736C1"/>
    <w:rsid w:val="00487BBB"/>
    <w:rsid w:val="004967BA"/>
    <w:rsid w:val="004C10A3"/>
    <w:rsid w:val="004C41FB"/>
    <w:rsid w:val="004D1217"/>
    <w:rsid w:val="004D6008"/>
    <w:rsid w:val="004E45AA"/>
    <w:rsid w:val="004F23D0"/>
    <w:rsid w:val="00527374"/>
    <w:rsid w:val="0053007B"/>
    <w:rsid w:val="00530EF8"/>
    <w:rsid w:val="00556866"/>
    <w:rsid w:val="0058609E"/>
    <w:rsid w:val="00586F38"/>
    <w:rsid w:val="005D5083"/>
    <w:rsid w:val="005E74CF"/>
    <w:rsid w:val="005F55E5"/>
    <w:rsid w:val="006002BE"/>
    <w:rsid w:val="006100D7"/>
    <w:rsid w:val="00622A00"/>
    <w:rsid w:val="00627F00"/>
    <w:rsid w:val="00640794"/>
    <w:rsid w:val="00680841"/>
    <w:rsid w:val="00693C6F"/>
    <w:rsid w:val="006A7845"/>
    <w:rsid w:val="006C7E52"/>
    <w:rsid w:val="006D1F42"/>
    <w:rsid w:val="006F1772"/>
    <w:rsid w:val="00700427"/>
    <w:rsid w:val="00740866"/>
    <w:rsid w:val="00742531"/>
    <w:rsid w:val="00743AC0"/>
    <w:rsid w:val="00745ABF"/>
    <w:rsid w:val="0075270A"/>
    <w:rsid w:val="00753918"/>
    <w:rsid w:val="00757855"/>
    <w:rsid w:val="00757C14"/>
    <w:rsid w:val="0077167D"/>
    <w:rsid w:val="00784D2A"/>
    <w:rsid w:val="00791ED2"/>
    <w:rsid w:val="00793397"/>
    <w:rsid w:val="007C1534"/>
    <w:rsid w:val="007C37D3"/>
    <w:rsid w:val="007C40BD"/>
    <w:rsid w:val="007D1F77"/>
    <w:rsid w:val="007E4E1E"/>
    <w:rsid w:val="00801E1E"/>
    <w:rsid w:val="00805ABF"/>
    <w:rsid w:val="008074F1"/>
    <w:rsid w:val="0082084D"/>
    <w:rsid w:val="008231EC"/>
    <w:rsid w:val="00825E15"/>
    <w:rsid w:val="00831CF6"/>
    <w:rsid w:val="00842523"/>
    <w:rsid w:val="0084337E"/>
    <w:rsid w:val="00846626"/>
    <w:rsid w:val="00855DAB"/>
    <w:rsid w:val="00860724"/>
    <w:rsid w:val="008942E7"/>
    <w:rsid w:val="008A1204"/>
    <w:rsid w:val="008B7282"/>
    <w:rsid w:val="008C2A0E"/>
    <w:rsid w:val="008E0501"/>
    <w:rsid w:val="008F4332"/>
    <w:rsid w:val="00900CCA"/>
    <w:rsid w:val="00912DD3"/>
    <w:rsid w:val="00924B77"/>
    <w:rsid w:val="00940DA2"/>
    <w:rsid w:val="00960308"/>
    <w:rsid w:val="0097624D"/>
    <w:rsid w:val="00987F3C"/>
    <w:rsid w:val="009B4D0C"/>
    <w:rsid w:val="009B5F38"/>
    <w:rsid w:val="009E055C"/>
    <w:rsid w:val="009E0E20"/>
    <w:rsid w:val="009F452E"/>
    <w:rsid w:val="009F77B9"/>
    <w:rsid w:val="00A02E42"/>
    <w:rsid w:val="00A0425E"/>
    <w:rsid w:val="00A13C9E"/>
    <w:rsid w:val="00A148BD"/>
    <w:rsid w:val="00A1569B"/>
    <w:rsid w:val="00A17C5D"/>
    <w:rsid w:val="00A23E48"/>
    <w:rsid w:val="00A33C8F"/>
    <w:rsid w:val="00A37F02"/>
    <w:rsid w:val="00A37F16"/>
    <w:rsid w:val="00A4052C"/>
    <w:rsid w:val="00A62A08"/>
    <w:rsid w:val="00A72143"/>
    <w:rsid w:val="00A74F6F"/>
    <w:rsid w:val="00A84B84"/>
    <w:rsid w:val="00AA564E"/>
    <w:rsid w:val="00AB349D"/>
    <w:rsid w:val="00AC2B3D"/>
    <w:rsid w:val="00AD3ACB"/>
    <w:rsid w:val="00AD7557"/>
    <w:rsid w:val="00B02A96"/>
    <w:rsid w:val="00B10DDC"/>
    <w:rsid w:val="00B11420"/>
    <w:rsid w:val="00B12247"/>
    <w:rsid w:val="00B14A07"/>
    <w:rsid w:val="00B27C82"/>
    <w:rsid w:val="00B42A2D"/>
    <w:rsid w:val="00B50C5D"/>
    <w:rsid w:val="00B51253"/>
    <w:rsid w:val="00B525CC"/>
    <w:rsid w:val="00B52F8D"/>
    <w:rsid w:val="00B60D40"/>
    <w:rsid w:val="00B62D64"/>
    <w:rsid w:val="00B8210E"/>
    <w:rsid w:val="00B83400"/>
    <w:rsid w:val="00B93218"/>
    <w:rsid w:val="00BB3CCC"/>
    <w:rsid w:val="00BD0C30"/>
    <w:rsid w:val="00BE3E91"/>
    <w:rsid w:val="00C17B2E"/>
    <w:rsid w:val="00C2433F"/>
    <w:rsid w:val="00C26121"/>
    <w:rsid w:val="00C27557"/>
    <w:rsid w:val="00C467FA"/>
    <w:rsid w:val="00C51848"/>
    <w:rsid w:val="00C5434E"/>
    <w:rsid w:val="00C72371"/>
    <w:rsid w:val="00C72EE6"/>
    <w:rsid w:val="00C75CD2"/>
    <w:rsid w:val="00C82A0C"/>
    <w:rsid w:val="00CB4D8F"/>
    <w:rsid w:val="00CB7950"/>
    <w:rsid w:val="00CC0938"/>
    <w:rsid w:val="00CD1199"/>
    <w:rsid w:val="00CD7E3A"/>
    <w:rsid w:val="00D06C64"/>
    <w:rsid w:val="00D139CF"/>
    <w:rsid w:val="00D25B37"/>
    <w:rsid w:val="00D3661B"/>
    <w:rsid w:val="00D404F2"/>
    <w:rsid w:val="00D83AC0"/>
    <w:rsid w:val="00D8485E"/>
    <w:rsid w:val="00DB340C"/>
    <w:rsid w:val="00DB7336"/>
    <w:rsid w:val="00DC5995"/>
    <w:rsid w:val="00DD7BCD"/>
    <w:rsid w:val="00E06C36"/>
    <w:rsid w:val="00E23F33"/>
    <w:rsid w:val="00E30D55"/>
    <w:rsid w:val="00E37E9D"/>
    <w:rsid w:val="00E43B03"/>
    <w:rsid w:val="00E442AC"/>
    <w:rsid w:val="00E5238D"/>
    <w:rsid w:val="00E5246D"/>
    <w:rsid w:val="00E607E6"/>
    <w:rsid w:val="00E83195"/>
    <w:rsid w:val="00E8437D"/>
    <w:rsid w:val="00ED3B22"/>
    <w:rsid w:val="00ED5BF3"/>
    <w:rsid w:val="00ED6646"/>
    <w:rsid w:val="00ED71A7"/>
    <w:rsid w:val="00EF0449"/>
    <w:rsid w:val="00F012A2"/>
    <w:rsid w:val="00F06D0B"/>
    <w:rsid w:val="00F07E11"/>
    <w:rsid w:val="00F07E50"/>
    <w:rsid w:val="00F64ADF"/>
    <w:rsid w:val="00F6552E"/>
    <w:rsid w:val="00F85B52"/>
    <w:rsid w:val="00FB7E60"/>
    <w:rsid w:val="00FD72AE"/>
    <w:rsid w:val="00FE13F6"/>
    <w:rsid w:val="00FE4E18"/>
    <w:rsid w:val="00FF3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4406F"/>
  <w15:chartTrackingRefBased/>
  <w15:docId w15:val="{FE750A58-3F2B-40C0-8755-17A6023C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D1F77"/>
    <w:pPr>
      <w:ind w:left="720"/>
      <w:contextualSpacing/>
    </w:pPr>
  </w:style>
  <w:style w:type="character" w:styleId="Collegamentoipertestuale">
    <w:name w:val="Hyperlink"/>
    <w:basedOn w:val="Carpredefinitoparagrafo"/>
    <w:rsid w:val="00FE13F6"/>
    <w:rPr>
      <w:color w:val="0563C1" w:themeColor="hyperlink"/>
      <w:u w:val="single"/>
    </w:rPr>
  </w:style>
  <w:style w:type="character" w:styleId="Menzionenonrisolta">
    <w:name w:val="Unresolved Mention"/>
    <w:basedOn w:val="Carpredefinitoparagrafo"/>
    <w:uiPriority w:val="99"/>
    <w:semiHidden/>
    <w:unhideWhenUsed/>
    <w:rsid w:val="00FE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F49DB-2488-4558-876E-7F38B3E7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482</Words>
  <Characters>2905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2023-05-11T15:02:00Z</cp:lastPrinted>
  <dcterms:created xsi:type="dcterms:W3CDTF">2023-07-03T11:35:00Z</dcterms:created>
  <dcterms:modified xsi:type="dcterms:W3CDTF">2024-01-10T08:32:00Z</dcterms:modified>
</cp:coreProperties>
</file>