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462" w14:textId="77777777" w:rsidR="00CC2605" w:rsidRDefault="00EC68D6">
      <w:pPr>
        <w:pStyle w:val="Titolo1"/>
      </w:pPr>
      <w:r>
        <w:t>History of Architecture</w:t>
      </w:r>
    </w:p>
    <w:p w14:paraId="7AE467ED" w14:textId="77777777" w:rsidR="00CC2605" w:rsidRDefault="00EC68D6">
      <w:pPr>
        <w:pStyle w:val="Titolo2"/>
      </w:pPr>
      <w:r>
        <w:t xml:space="preserve">Prof. Stefano </w:t>
      </w:r>
      <w:proofErr w:type="spellStart"/>
      <w:r>
        <w:t>Margutti</w:t>
      </w:r>
      <w:proofErr w:type="spellEnd"/>
    </w:p>
    <w:p w14:paraId="2773F79E" w14:textId="77777777" w:rsidR="00CC2605" w:rsidRDefault="00EC68D6">
      <w:pPr>
        <w:spacing w:before="240" w:after="120" w:line="240" w:lineRule="exact"/>
        <w:rPr>
          <w:b/>
          <w:sz w:val="18"/>
        </w:rPr>
      </w:pPr>
      <w:r>
        <w:rPr>
          <w:b/>
          <w:i/>
          <w:sz w:val="18"/>
        </w:rPr>
        <w:t>COURSE AIMS AND INTENDED LEARNING OUTCOMES</w:t>
      </w:r>
    </w:p>
    <w:p w14:paraId="26EF4071" w14:textId="77777777" w:rsidR="00CC2605" w:rsidRDefault="00EC68D6">
      <w:r>
        <w:t xml:space="preserve">The course aims to introduce students to the history of architecture, providing them with the basic techniques for understanding monuments, structures and </w:t>
      </w:r>
      <w:r>
        <w:t xml:space="preserve">plans, formal, </w:t>
      </w:r>
      <w:proofErr w:type="gramStart"/>
      <w:r>
        <w:t>spatial</w:t>
      </w:r>
      <w:proofErr w:type="gramEnd"/>
      <w:r>
        <w:t xml:space="preserve"> and typological elements, building techniques as well as cultural contexts and relationships with the figurative arts, by examining some of the works and leading architects of the modern age (15</w:t>
      </w:r>
      <w:r>
        <w:rPr>
          <w:vertAlign w:val="superscript"/>
        </w:rPr>
        <w:t>th</w:t>
      </w:r>
      <w:r>
        <w:t>-18</w:t>
      </w:r>
      <w:r>
        <w:rPr>
          <w:vertAlign w:val="superscript"/>
        </w:rPr>
        <w:t>th</w:t>
      </w:r>
      <w:r>
        <w:t xml:space="preserve"> centuries).</w:t>
      </w:r>
    </w:p>
    <w:p w14:paraId="4387F2F0" w14:textId="77777777" w:rsidR="00CC2605" w:rsidRDefault="00EC68D6">
      <w:r>
        <w:t xml:space="preserve">Lectures will also </w:t>
      </w:r>
      <w:r>
        <w:t>include the discussion of historical-critical positions and the various modes of studying history, alongside the direct study of buildings and the use of appropriate architectural vocabulary.</w:t>
      </w:r>
    </w:p>
    <w:p w14:paraId="517FAA64" w14:textId="77777777" w:rsidR="00CC2605" w:rsidRDefault="00EC68D6">
      <w:r>
        <w:t xml:space="preserve">By the end of the course, students will be able to: </w:t>
      </w:r>
      <w:r>
        <w:rPr>
          <w:color w:val="000000"/>
          <w:szCs w:val="20"/>
        </w:rPr>
        <w:t>recognise an</w:t>
      </w:r>
      <w:r>
        <w:rPr>
          <w:color w:val="000000"/>
          <w:szCs w:val="20"/>
        </w:rPr>
        <w:t xml:space="preserve">d historically contextualise the main monuments studied; use specialist architectural language to analyse historical buildings in terms of type, </w:t>
      </w:r>
      <w:proofErr w:type="gramStart"/>
      <w:r>
        <w:rPr>
          <w:color w:val="000000"/>
          <w:szCs w:val="20"/>
        </w:rPr>
        <w:t>structure</w:t>
      </w:r>
      <w:proofErr w:type="gramEnd"/>
      <w:r>
        <w:rPr>
          <w:color w:val="000000"/>
          <w:szCs w:val="20"/>
        </w:rPr>
        <w:t xml:space="preserve"> and form; make connections between building system, typology and historical context; and evaluate and</w:t>
      </w:r>
      <w:r>
        <w:rPr>
          <w:color w:val="000000"/>
          <w:szCs w:val="20"/>
        </w:rPr>
        <w:t xml:space="preserve"> interpret data and information as a premise for formulating an independent appraisal of the figures and works in question.</w:t>
      </w:r>
    </w:p>
    <w:p w14:paraId="29B8A9ED" w14:textId="77777777" w:rsidR="00CC2605" w:rsidRDefault="00EC68D6">
      <w:pPr>
        <w:spacing w:before="240" w:after="120" w:line="240" w:lineRule="exact"/>
        <w:rPr>
          <w:b/>
          <w:sz w:val="18"/>
          <w:lang w:val="it-IT"/>
        </w:rPr>
      </w:pPr>
      <w:r>
        <w:rPr>
          <w:b/>
          <w:i/>
          <w:sz w:val="18"/>
          <w:lang w:val="it-IT"/>
        </w:rPr>
        <w:t>COURSE CONTENT</w:t>
      </w:r>
    </w:p>
    <w:p w14:paraId="2C5BBCA5" w14:textId="77777777" w:rsidR="00CC2605" w:rsidRDefault="00EC68D6">
      <w:pPr>
        <w:rPr>
          <w:lang w:val="it-IT"/>
        </w:rPr>
      </w:pPr>
      <w:r>
        <w:rPr>
          <w:lang w:val="it-IT"/>
        </w:rPr>
        <w:t xml:space="preserve">The </w:t>
      </w:r>
      <w:proofErr w:type="spellStart"/>
      <w:r>
        <w:rPr>
          <w:lang w:val="it-IT"/>
        </w:rPr>
        <w:t>course</w:t>
      </w:r>
      <w:proofErr w:type="spellEnd"/>
      <w:r>
        <w:rPr>
          <w:lang w:val="it-IT"/>
        </w:rPr>
        <w:t xml:space="preserve"> </w:t>
      </w:r>
      <w:proofErr w:type="spellStart"/>
      <w:r>
        <w:rPr>
          <w:lang w:val="it-IT"/>
        </w:rPr>
        <w:t>will</w:t>
      </w:r>
      <w:proofErr w:type="spellEnd"/>
      <w:r>
        <w:rPr>
          <w:lang w:val="it-IT"/>
        </w:rPr>
        <w:t xml:space="preserve"> take a </w:t>
      </w:r>
      <w:proofErr w:type="spellStart"/>
      <w:r>
        <w:rPr>
          <w:lang w:val="it-IT"/>
        </w:rPr>
        <w:t>chronological</w:t>
      </w:r>
      <w:proofErr w:type="spellEnd"/>
      <w:r>
        <w:rPr>
          <w:lang w:val="it-IT"/>
        </w:rPr>
        <w:t xml:space="preserve"> </w:t>
      </w:r>
      <w:proofErr w:type="spellStart"/>
      <w:r>
        <w:rPr>
          <w:lang w:val="it-IT"/>
        </w:rPr>
        <w:t>approach</w:t>
      </w:r>
      <w:proofErr w:type="spellEnd"/>
      <w:r>
        <w:rPr>
          <w:lang w:val="it-IT"/>
        </w:rPr>
        <w:t xml:space="preserve"> to </w:t>
      </w:r>
      <w:proofErr w:type="spellStart"/>
      <w:r>
        <w:rPr>
          <w:lang w:val="it-IT"/>
        </w:rPr>
        <w:t>Italian</w:t>
      </w:r>
      <w:proofErr w:type="spellEnd"/>
      <w:r>
        <w:rPr>
          <w:lang w:val="it-IT"/>
        </w:rPr>
        <w:t xml:space="preserve"> </w:t>
      </w:r>
      <w:proofErr w:type="spellStart"/>
      <w:r>
        <w:rPr>
          <w:lang w:val="it-IT"/>
        </w:rPr>
        <w:t>architecture</w:t>
      </w:r>
      <w:proofErr w:type="spellEnd"/>
      <w:r>
        <w:rPr>
          <w:lang w:val="it-IT"/>
        </w:rPr>
        <w:t xml:space="preserve"> </w:t>
      </w:r>
      <w:proofErr w:type="spellStart"/>
      <w:r>
        <w:rPr>
          <w:lang w:val="it-IT"/>
        </w:rPr>
        <w:t>between</w:t>
      </w:r>
      <w:proofErr w:type="spellEnd"/>
      <w:r>
        <w:rPr>
          <w:lang w:val="it-IT"/>
        </w:rPr>
        <w:t xml:space="preserve"> the 15</w:t>
      </w:r>
      <w:r>
        <w:rPr>
          <w:vertAlign w:val="superscript"/>
          <w:lang w:val="it-IT"/>
        </w:rPr>
        <w:t>th</w:t>
      </w:r>
      <w:r>
        <w:rPr>
          <w:lang w:val="it-IT"/>
        </w:rPr>
        <w:t xml:space="preserve"> and 18</w:t>
      </w:r>
      <w:r>
        <w:rPr>
          <w:vertAlign w:val="superscript"/>
          <w:lang w:val="it-IT"/>
        </w:rPr>
        <w:t>th</w:t>
      </w:r>
      <w:r>
        <w:rPr>
          <w:lang w:val="it-IT"/>
        </w:rPr>
        <w:t xml:space="preserve"> </w:t>
      </w:r>
      <w:proofErr w:type="spellStart"/>
      <w:r>
        <w:rPr>
          <w:lang w:val="it-IT"/>
        </w:rPr>
        <w:t>centuries</w:t>
      </w:r>
      <w:proofErr w:type="spellEnd"/>
      <w:r>
        <w:rPr>
          <w:lang w:val="it-IT"/>
        </w:rPr>
        <w:t xml:space="preserve">, </w:t>
      </w:r>
      <w:proofErr w:type="spellStart"/>
      <w:r>
        <w:rPr>
          <w:lang w:val="it-IT"/>
        </w:rPr>
        <w:t>examining</w:t>
      </w:r>
      <w:proofErr w:type="spellEnd"/>
      <w:r>
        <w:rPr>
          <w:lang w:val="it-IT"/>
        </w:rPr>
        <w:t xml:space="preserve"> </w:t>
      </w:r>
      <w:r>
        <w:rPr>
          <w:lang w:val="it-IT"/>
        </w:rPr>
        <w:t xml:space="preserve">the </w:t>
      </w:r>
      <w:proofErr w:type="spellStart"/>
      <w:r>
        <w:rPr>
          <w:lang w:val="it-IT"/>
        </w:rPr>
        <w:t>leading</w:t>
      </w:r>
      <w:proofErr w:type="spellEnd"/>
      <w:r>
        <w:rPr>
          <w:lang w:val="it-IT"/>
        </w:rPr>
        <w:t xml:space="preserve"> </w:t>
      </w:r>
      <w:proofErr w:type="spellStart"/>
      <w:r>
        <w:rPr>
          <w:lang w:val="it-IT"/>
        </w:rPr>
        <w:t>architects</w:t>
      </w:r>
      <w:proofErr w:type="spellEnd"/>
      <w:r>
        <w:rPr>
          <w:lang w:val="it-IT"/>
        </w:rPr>
        <w:t xml:space="preserve"> working </w:t>
      </w:r>
      <w:proofErr w:type="spellStart"/>
      <w:r>
        <w:rPr>
          <w:lang w:val="it-IT"/>
        </w:rPr>
        <w:t>within</w:t>
      </w:r>
      <w:proofErr w:type="spellEnd"/>
      <w:r>
        <w:rPr>
          <w:lang w:val="it-IT"/>
        </w:rPr>
        <w:t xml:space="preserve"> </w:t>
      </w:r>
      <w:proofErr w:type="spellStart"/>
      <w:r>
        <w:rPr>
          <w:lang w:val="it-IT"/>
        </w:rPr>
        <w:t>this</w:t>
      </w:r>
      <w:proofErr w:type="spellEnd"/>
      <w:r>
        <w:rPr>
          <w:lang w:val="it-IT"/>
        </w:rPr>
        <w:t xml:space="preserve"> </w:t>
      </w:r>
      <w:proofErr w:type="spellStart"/>
      <w:r>
        <w:rPr>
          <w:lang w:val="it-IT"/>
        </w:rPr>
        <w:t>timeframe</w:t>
      </w:r>
      <w:proofErr w:type="spellEnd"/>
      <w:r>
        <w:rPr>
          <w:lang w:val="it-IT"/>
        </w:rPr>
        <w:t xml:space="preserve">, </w:t>
      </w:r>
      <w:proofErr w:type="spellStart"/>
      <w:r>
        <w:rPr>
          <w:lang w:val="it-IT"/>
        </w:rPr>
        <w:t>including</w:t>
      </w:r>
      <w:proofErr w:type="spellEnd"/>
      <w:r>
        <w:rPr>
          <w:lang w:val="it-IT"/>
        </w:rPr>
        <w:t xml:space="preserve"> (</w:t>
      </w:r>
      <w:proofErr w:type="spellStart"/>
      <w:r>
        <w:rPr>
          <w:lang w:val="it-IT"/>
        </w:rPr>
        <w:t>but</w:t>
      </w:r>
      <w:proofErr w:type="spellEnd"/>
      <w:r>
        <w:rPr>
          <w:lang w:val="it-IT"/>
        </w:rPr>
        <w:t xml:space="preserve"> </w:t>
      </w:r>
      <w:proofErr w:type="spellStart"/>
      <w:r>
        <w:rPr>
          <w:lang w:val="it-IT"/>
        </w:rPr>
        <w:t>not</w:t>
      </w:r>
      <w:proofErr w:type="spellEnd"/>
      <w:r>
        <w:rPr>
          <w:lang w:val="it-IT"/>
        </w:rPr>
        <w:t xml:space="preserve"> limited to) Filippo Brunelleschi, Leon Battista Alberti, Francesco di Giorgio Martini, Giuliano da Sangallo, Mauro Codussi, Donato Bramante, Raffaello Sanzio, Giulio Romano, Jacopo Sa</w:t>
      </w:r>
      <w:r>
        <w:rPr>
          <w:lang w:val="it-IT"/>
        </w:rPr>
        <w:t>nsovino, Michele Sanmicheli, Andrea Palladio, Michelangelo Buonarroti, Jacopo Vignola, Pellegrino Tibaldi, Carlo Maderno, Gian Lorenzo Bernini, Francesco Borromini, Pietro da Cortona, Guarino Guarini, Bernardo Vittone, Filippo Juvarra and Luigi Vanvitelli.</w:t>
      </w:r>
    </w:p>
    <w:p w14:paraId="5660CDB9" w14:textId="77777777" w:rsidR="00CC2605" w:rsidRDefault="00EC68D6">
      <w:r>
        <w:t xml:space="preserve">There will be a particular focus on the buildings of </w:t>
      </w:r>
      <w:r>
        <w:rPr>
          <w:lang w:val="it-IT"/>
        </w:rPr>
        <w:t xml:space="preserve">Filippo Brunelleschi, Donato </w:t>
      </w:r>
      <w:proofErr w:type="gramStart"/>
      <w:r>
        <w:rPr>
          <w:lang w:val="it-IT"/>
        </w:rPr>
        <w:t>Bramante</w:t>
      </w:r>
      <w:proofErr w:type="gramEnd"/>
      <w:r>
        <w:rPr>
          <w:lang w:val="it-IT"/>
        </w:rPr>
        <w:t xml:space="preserve"> and </w:t>
      </w:r>
      <w:r>
        <w:t>Michelangelo Buonarroti.</w:t>
      </w:r>
    </w:p>
    <w:p w14:paraId="5AC10C7F" w14:textId="77777777" w:rsidR="00CC2605" w:rsidRDefault="00EC68D6">
      <w:pPr>
        <w:keepNext/>
        <w:spacing w:before="240" w:after="120" w:line="240" w:lineRule="exact"/>
        <w:rPr>
          <w:b/>
          <w:sz w:val="18"/>
        </w:rPr>
      </w:pPr>
      <w:r>
        <w:rPr>
          <w:b/>
          <w:i/>
          <w:sz w:val="18"/>
        </w:rPr>
        <w:t>READING LIST</w:t>
      </w:r>
    </w:p>
    <w:p w14:paraId="3B093942" w14:textId="77777777" w:rsidR="00CC2605" w:rsidRDefault="00EC68D6">
      <w:pPr>
        <w:pStyle w:val="Testo1"/>
      </w:pPr>
      <w:r>
        <w:t>Students must study the following textbooks:</w:t>
      </w:r>
    </w:p>
    <w:p w14:paraId="6BE659A3" w14:textId="77777777" w:rsidR="00CC2605" w:rsidRDefault="00EC68D6">
      <w:pPr>
        <w:pStyle w:val="Testo1"/>
        <w:spacing w:before="0"/>
      </w:pPr>
      <w:r>
        <w:t>–</w:t>
      </w:r>
      <w:r>
        <w:tab/>
        <w:t xml:space="preserve">For the 15th century: </w:t>
      </w:r>
      <w:r>
        <w:rPr>
          <w:smallCaps/>
          <w:sz w:val="16"/>
        </w:rPr>
        <w:t>C. L. Frommel,</w:t>
      </w:r>
      <w:r>
        <w:rPr>
          <w:i/>
        </w:rPr>
        <w:t xml:space="preserve"> </w:t>
      </w:r>
      <w:proofErr w:type="spellStart"/>
      <w:r>
        <w:rPr>
          <w:i/>
        </w:rPr>
        <w:t>Architettura</w:t>
      </w:r>
      <w:proofErr w:type="spellEnd"/>
      <w:r>
        <w:rPr>
          <w:i/>
        </w:rPr>
        <w:t xml:space="preserve"> del </w:t>
      </w:r>
      <w:proofErr w:type="spellStart"/>
      <w:r>
        <w:rPr>
          <w:i/>
        </w:rPr>
        <w:t>Rinascimento</w:t>
      </w:r>
      <w:proofErr w:type="spellEnd"/>
      <w:r>
        <w:rPr>
          <w:i/>
        </w:rPr>
        <w:t xml:space="preserve"> italiano</w:t>
      </w:r>
      <w:r>
        <w:rPr>
          <w:i/>
        </w:rPr>
        <w:t>,</w:t>
      </w:r>
      <w:r>
        <w:t xml:space="preserve"> </w:t>
      </w:r>
      <w:proofErr w:type="spellStart"/>
      <w:r>
        <w:t>Skira</w:t>
      </w:r>
      <w:proofErr w:type="spellEnd"/>
      <w:r>
        <w:t>, Milan-Geneva, 2007, pp. 15-155.</w:t>
      </w:r>
    </w:p>
    <w:p w14:paraId="7F09B90C" w14:textId="77777777" w:rsidR="00CC2605" w:rsidRDefault="00EC68D6">
      <w:pPr>
        <w:pStyle w:val="Testo1"/>
        <w:spacing w:before="0"/>
      </w:pPr>
      <w:r>
        <w:t>–</w:t>
      </w:r>
      <w:r>
        <w:tab/>
        <w:t xml:space="preserve">For the 16th century: </w:t>
      </w:r>
      <w:r>
        <w:rPr>
          <w:smallCaps/>
          <w:sz w:val="16"/>
        </w:rPr>
        <w:t>C. L. Frommel,</w:t>
      </w:r>
      <w:r>
        <w:rPr>
          <w:i/>
        </w:rPr>
        <w:t xml:space="preserve"> </w:t>
      </w:r>
      <w:proofErr w:type="spellStart"/>
      <w:r>
        <w:rPr>
          <w:i/>
        </w:rPr>
        <w:t>Architettura</w:t>
      </w:r>
      <w:proofErr w:type="spellEnd"/>
      <w:r>
        <w:rPr>
          <w:i/>
        </w:rPr>
        <w:t xml:space="preserve"> del </w:t>
      </w:r>
      <w:proofErr w:type="spellStart"/>
      <w:r>
        <w:rPr>
          <w:i/>
        </w:rPr>
        <w:t>Rinascimento</w:t>
      </w:r>
      <w:proofErr w:type="spellEnd"/>
      <w:r>
        <w:rPr>
          <w:i/>
        </w:rPr>
        <w:t xml:space="preserve"> italiano,</w:t>
      </w:r>
      <w:r>
        <w:t xml:space="preserve"> </w:t>
      </w:r>
      <w:proofErr w:type="spellStart"/>
      <w:r>
        <w:t>Skira</w:t>
      </w:r>
      <w:proofErr w:type="spellEnd"/>
      <w:r>
        <w:t xml:space="preserve">, Milan-Geneva, 2007, pp. 157-340, or </w:t>
      </w:r>
      <w:r>
        <w:rPr>
          <w:smallCaps/>
          <w:sz w:val="16"/>
        </w:rPr>
        <w:t xml:space="preserve">W. </w:t>
      </w:r>
      <w:proofErr w:type="spellStart"/>
      <w:r>
        <w:rPr>
          <w:smallCaps/>
          <w:sz w:val="16"/>
        </w:rPr>
        <w:t>Lotz</w:t>
      </w:r>
      <w:proofErr w:type="spellEnd"/>
      <w:r>
        <w:rPr>
          <w:smallCaps/>
          <w:sz w:val="16"/>
        </w:rPr>
        <w:t>,</w:t>
      </w:r>
      <w:r>
        <w:rPr>
          <w:i/>
        </w:rPr>
        <w:t xml:space="preserve"> </w:t>
      </w:r>
      <w:proofErr w:type="spellStart"/>
      <w:r>
        <w:rPr>
          <w:i/>
        </w:rPr>
        <w:t>Architettura</w:t>
      </w:r>
      <w:proofErr w:type="spellEnd"/>
      <w:r>
        <w:rPr>
          <w:i/>
        </w:rPr>
        <w:t xml:space="preserve"> in Italia 1500-1600,</w:t>
      </w:r>
      <w:r>
        <w:t xml:space="preserve"> edited by D. Howard, Rizzoli, 1997 (unabridged)</w:t>
      </w:r>
    </w:p>
    <w:p w14:paraId="330D04DC" w14:textId="77777777" w:rsidR="00CC2605" w:rsidRDefault="00EC68D6">
      <w:pPr>
        <w:pStyle w:val="Testo1"/>
        <w:spacing w:before="0"/>
      </w:pPr>
      <w:r>
        <w:t>–</w:t>
      </w:r>
      <w:r>
        <w:tab/>
      </w:r>
      <w:r>
        <w:t xml:space="preserve">For the 17th century and 18th century: </w:t>
      </w:r>
      <w:r>
        <w:rPr>
          <w:smallCaps/>
          <w:sz w:val="16"/>
        </w:rPr>
        <w:t xml:space="preserve">R. </w:t>
      </w:r>
      <w:proofErr w:type="spellStart"/>
      <w:r>
        <w:rPr>
          <w:smallCaps/>
          <w:sz w:val="16"/>
        </w:rPr>
        <w:t>Wittkower</w:t>
      </w:r>
      <w:proofErr w:type="spellEnd"/>
      <w:r>
        <w:rPr>
          <w:smallCaps/>
          <w:sz w:val="16"/>
        </w:rPr>
        <w:t>,</w:t>
      </w:r>
      <w:r>
        <w:rPr>
          <w:i/>
        </w:rPr>
        <w:t xml:space="preserve"> </w:t>
      </w:r>
      <w:proofErr w:type="spellStart"/>
      <w:r>
        <w:rPr>
          <w:i/>
        </w:rPr>
        <w:t>Arte</w:t>
      </w:r>
      <w:proofErr w:type="spellEnd"/>
      <w:r>
        <w:rPr>
          <w:i/>
        </w:rPr>
        <w:t xml:space="preserve"> e </w:t>
      </w:r>
      <w:proofErr w:type="spellStart"/>
      <w:r>
        <w:rPr>
          <w:i/>
        </w:rPr>
        <w:t>architettura</w:t>
      </w:r>
      <w:proofErr w:type="spellEnd"/>
      <w:r>
        <w:rPr>
          <w:i/>
        </w:rPr>
        <w:t xml:space="preserve"> in Italia. 1600-1750,</w:t>
      </w:r>
      <w:r>
        <w:t xml:space="preserve"> Einaudi, Turin, 1972, pp. 92-108, 147-205, 233-253, 317-375.</w:t>
      </w:r>
    </w:p>
    <w:p w14:paraId="15803D5F" w14:textId="77777777" w:rsidR="00CC2605" w:rsidRDefault="00EC68D6">
      <w:pPr>
        <w:spacing w:before="240" w:after="120"/>
        <w:rPr>
          <w:b/>
          <w:i/>
          <w:sz w:val="18"/>
        </w:rPr>
      </w:pPr>
      <w:r>
        <w:rPr>
          <w:b/>
          <w:i/>
          <w:sz w:val="18"/>
        </w:rPr>
        <w:lastRenderedPageBreak/>
        <w:t>TEACHING METHOD</w:t>
      </w:r>
    </w:p>
    <w:p w14:paraId="73BF29FE" w14:textId="77777777" w:rsidR="00CC2605" w:rsidRDefault="00EC68D6">
      <w:pPr>
        <w:pStyle w:val="Testo2"/>
      </w:pPr>
      <w:r>
        <w:t xml:space="preserve">Lectures and educational visits to the Lombard monuments on the syllabus </w:t>
      </w:r>
    </w:p>
    <w:p w14:paraId="07BAF63B" w14:textId="77777777" w:rsidR="00CC2605" w:rsidRDefault="00EC68D6">
      <w:pPr>
        <w:pStyle w:val="Testo2"/>
      </w:pPr>
      <w:r>
        <w:t>A visit st</w:t>
      </w:r>
      <w:r>
        <w:t>udy to Florence could be planned if compatible with the organisation of the course.</w:t>
      </w:r>
    </w:p>
    <w:p w14:paraId="2A84D9C7" w14:textId="77777777" w:rsidR="00CC2605" w:rsidRDefault="00EC68D6">
      <w:pPr>
        <w:spacing w:before="240" w:after="120"/>
        <w:rPr>
          <w:b/>
          <w:i/>
          <w:sz w:val="18"/>
        </w:rPr>
      </w:pPr>
      <w:r>
        <w:rPr>
          <w:b/>
          <w:i/>
          <w:sz w:val="18"/>
        </w:rPr>
        <w:t>ASSESSMENT METHOD AND CRITERIA</w:t>
      </w:r>
    </w:p>
    <w:p w14:paraId="45A35E71" w14:textId="77777777" w:rsidR="00CC2605" w:rsidRDefault="00EC68D6">
      <w:pPr>
        <w:pStyle w:val="Testo2"/>
      </w:pPr>
      <w:r>
        <w:t>Students will be examined by means of an oral exam designed to evaluate their assimilation of the content presented in lectures and on the re</w:t>
      </w:r>
      <w:r>
        <w:t xml:space="preserve">ading list. Assessment criteria </w:t>
      </w:r>
      <w:proofErr w:type="gramStart"/>
      <w:r>
        <w:t>include:</w:t>
      </w:r>
      <w:proofErr w:type="gramEnd"/>
      <w:r>
        <w:t xml:space="preserve"> ability to present key information about architects and their works, and to describe buildings, including through the use of images and using appropriate architectural terminology (images will be selected from those</w:t>
      </w:r>
      <w:r>
        <w:t xml:space="preserve"> featured in the essays on the reading list and shown in lectures, which will be available to students on Blackboard).</w:t>
      </w:r>
    </w:p>
    <w:p w14:paraId="276AE2E7" w14:textId="77777777" w:rsidR="00CC2605" w:rsidRDefault="00EC68D6">
      <w:pPr>
        <w:spacing w:before="240" w:after="120" w:line="240" w:lineRule="exact"/>
        <w:rPr>
          <w:b/>
          <w:i/>
          <w:sz w:val="18"/>
        </w:rPr>
      </w:pPr>
      <w:r>
        <w:rPr>
          <w:b/>
          <w:i/>
          <w:sz w:val="18"/>
        </w:rPr>
        <w:t>NOTES AND PREREQUISITES</w:t>
      </w:r>
    </w:p>
    <w:p w14:paraId="4A8F8731" w14:textId="77777777" w:rsidR="00CC2605" w:rsidRDefault="00EC68D6">
      <w:pPr>
        <w:pStyle w:val="Testo2"/>
        <w:rPr>
          <w:i/>
        </w:rPr>
      </w:pPr>
      <w:r>
        <w:rPr>
          <w:i/>
        </w:rPr>
        <w:t>Prerequisites</w:t>
      </w:r>
    </w:p>
    <w:p w14:paraId="7F424361" w14:textId="77777777" w:rsidR="00CC2605" w:rsidRDefault="00EC68D6">
      <w:pPr>
        <w:pStyle w:val="Testo2"/>
      </w:pPr>
      <w:r>
        <w:t>As an introductory course, there are no prerequisites terms of content. Students are nevertheless e</w:t>
      </w:r>
      <w:r>
        <w:t xml:space="preserve">xpected to demonstrate an interest in and intellectual </w:t>
      </w:r>
      <w:proofErr w:type="spellStart"/>
      <w:r>
        <w:t>curiousity</w:t>
      </w:r>
      <w:proofErr w:type="spellEnd"/>
      <w:r>
        <w:t xml:space="preserve"> about the subject.</w:t>
      </w:r>
    </w:p>
    <w:p w14:paraId="5EB877CC" w14:textId="77777777" w:rsidR="00CC2605" w:rsidRDefault="00EC68D6">
      <w:pPr>
        <w:pStyle w:val="Testo2"/>
        <w:spacing w:before="120"/>
      </w:pPr>
      <w:r>
        <w:t>Further information can be found on the lecturer's webpage at http://docenti.unicatt.it/web/searchByName.do?language=ENG or on the Faculty notice board.</w:t>
      </w:r>
    </w:p>
    <w:sectPr w:rsidR="00CC2605">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05"/>
    <w:rsid w:val="00CC2605"/>
    <w:rsid w:val="00EC68D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83CC"/>
  <w15:docId w15:val="{273F38D6-A22B-4DF3-BBC9-18F290EE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color w:val="00000A"/>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en-GB" w:eastAsia="it-IT" w:bidi="ar-SA"/>
    </w:rPr>
  </w:style>
  <w:style w:type="character" w:customStyle="1" w:styleId="Titolo2Carattere">
    <w:name w:val="Titolo 2 Carattere"/>
    <w:link w:val="Titolo2"/>
    <w:qFormat/>
    <w:rsid w:val="00E607E6"/>
    <w:rPr>
      <w:rFonts w:ascii="Times" w:hAnsi="Times"/>
      <w:smallCaps/>
      <w:sz w:val="18"/>
      <w:lang w:bidi="ar-SA"/>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ice">
    <w:name w:val="I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color w:val="00000A"/>
      <w:sz w:val="18"/>
    </w:rPr>
  </w:style>
  <w:style w:type="paragraph" w:customStyle="1" w:styleId="Testo2">
    <w:name w:val="Testo 2"/>
    <w:qFormat/>
    <w:rsid w:val="00900CCA"/>
    <w:pPr>
      <w:tabs>
        <w:tab w:val="left" w:pos="284"/>
      </w:tabs>
      <w:spacing w:line="220" w:lineRule="exact"/>
      <w:ind w:firstLine="284"/>
      <w:jc w:val="both"/>
    </w:pPr>
    <w:rPr>
      <w:rFonts w:ascii="Times" w:hAnsi="Times"/>
      <w:color w:val="00000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CF3E-9492-45A1-AD91-3E3CC61A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4</DocSecurity>
  <Lines>25</Lines>
  <Paragraphs>7</Paragraphs>
  <ScaleCrop>false</ScaleCrop>
  <Company>U.C.S.C. MILANO</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Bisello Stefano</cp:lastModifiedBy>
  <cp:revision>2</cp:revision>
  <cp:lastPrinted>2003-03-27T10:42:00Z</cp:lastPrinted>
  <dcterms:created xsi:type="dcterms:W3CDTF">2023-05-26T14:52:00Z</dcterms:created>
  <dcterms:modified xsi:type="dcterms:W3CDTF">2023-05-26T14:52:00Z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