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3941" w14:textId="77777777" w:rsidR="00F66EBE" w:rsidRPr="008F7B8B" w:rsidRDefault="007D4401">
      <w:pPr>
        <w:pStyle w:val="CorpoA"/>
        <w:spacing w:before="480"/>
        <w:ind w:left="284" w:hanging="284"/>
        <w:rPr>
          <w:shd w:val="clear" w:color="auto" w:fill="FEFFFF"/>
        </w:rPr>
      </w:pPr>
      <w:r w:rsidRPr="008F7B8B">
        <w:rPr>
          <w:b/>
          <w:bCs/>
          <w:shd w:val="clear" w:color="auto" w:fill="FEFFFF"/>
        </w:rPr>
        <w:t>History of Eastern Europe</w:t>
      </w:r>
    </w:p>
    <w:p w14:paraId="19CB60B0" w14:textId="77777777" w:rsidR="00F66EBE" w:rsidRPr="008F7B8B" w:rsidRDefault="007D4401">
      <w:pPr>
        <w:pStyle w:val="Intestazione2"/>
        <w:spacing w:before="0"/>
        <w:ind w:left="578" w:hanging="578"/>
        <w:rPr>
          <w:rFonts w:ascii="Times New Roman" w:hAnsi="Times New Roman"/>
          <w:shd w:val="clear" w:color="auto" w:fill="FEFFFF"/>
        </w:rPr>
      </w:pPr>
      <w:r w:rsidRPr="008F7B8B">
        <w:rPr>
          <w:rFonts w:ascii="Times New Roman" w:hAnsi="Times New Roman"/>
          <w:shd w:val="clear" w:color="auto" w:fill="FEFFFF"/>
        </w:rPr>
        <w:t>Prof. Giorgio Del Zanna</w:t>
      </w:r>
    </w:p>
    <w:p w14:paraId="2A48ECE5" w14:textId="4A8FA6C9" w:rsidR="00FB5429" w:rsidRPr="008F7B8B" w:rsidRDefault="00FB5429" w:rsidP="00FB5429">
      <w:pPr>
        <w:spacing w:before="240" w:after="120"/>
        <w:rPr>
          <w:b/>
          <w:i/>
          <w:sz w:val="18"/>
        </w:rPr>
      </w:pPr>
      <w:r w:rsidRPr="008F7B8B">
        <w:rPr>
          <w:b/>
          <w:i/>
          <w:sz w:val="18"/>
        </w:rPr>
        <w:t xml:space="preserve">COURSE AIMS AND INTENDED LEARNING OUTCOMES </w:t>
      </w:r>
    </w:p>
    <w:p w14:paraId="4AB4E66E" w14:textId="77777777" w:rsidR="00EA59BE" w:rsidRPr="008F7B8B" w:rsidRDefault="00EA59BE" w:rsidP="00F4746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sidRPr="008F7B8B">
        <w:rPr>
          <w:sz w:val="20"/>
          <w:szCs w:val="20"/>
          <w:bdr w:val="none" w:sz="0" w:space="0" w:color="auto"/>
        </w:rPr>
        <w:t>The course aims to offer an overview of the most important historical trends in Eastern Europe between the 19</w:t>
      </w:r>
      <w:r w:rsidRPr="008F7B8B">
        <w:rPr>
          <w:sz w:val="20"/>
          <w:szCs w:val="20"/>
          <w:bdr w:val="none" w:sz="0" w:space="0" w:color="auto"/>
          <w:vertAlign w:val="superscript"/>
        </w:rPr>
        <w:t>th</w:t>
      </w:r>
      <w:r w:rsidRPr="008F7B8B">
        <w:rPr>
          <w:sz w:val="20"/>
          <w:szCs w:val="20"/>
          <w:bdr w:val="none" w:sz="0" w:space="0" w:color="auto"/>
        </w:rPr>
        <w:t xml:space="preserve"> and the 20</w:t>
      </w:r>
      <w:r w:rsidRPr="008F7B8B">
        <w:rPr>
          <w:sz w:val="20"/>
          <w:szCs w:val="20"/>
          <w:bdr w:val="none" w:sz="0" w:space="0" w:color="auto"/>
          <w:vertAlign w:val="superscript"/>
        </w:rPr>
        <w:t>th</w:t>
      </w:r>
      <w:r w:rsidRPr="008F7B8B">
        <w:rPr>
          <w:sz w:val="20"/>
          <w:szCs w:val="20"/>
          <w:bdr w:val="none" w:sz="0" w:space="0" w:color="auto"/>
        </w:rPr>
        <w:t xml:space="preserve"> century. At the end of the course, students will be able to understand and present in a clear way the main historical trends of this area, and identify their key political, social, and cultural elements. In addition, students will learn how to carry out a critical analysis of historical events in order to outline their continuity and discontinuity elements, issues, and main historiographic problems. Finally, they will be able to acquire and make full use of the historiographic categories of this field of study.</w:t>
      </w:r>
    </w:p>
    <w:p w14:paraId="18F8F09E" w14:textId="77777777" w:rsidR="00F66EBE" w:rsidRPr="008F7B8B" w:rsidRDefault="007D4401">
      <w:pPr>
        <w:pStyle w:val="CorpoA"/>
        <w:spacing w:before="240" w:after="120" w:line="240" w:lineRule="exact"/>
        <w:rPr>
          <w:shd w:val="clear" w:color="auto" w:fill="FEFFFF"/>
          <w:lang w:val="en-US"/>
        </w:rPr>
      </w:pPr>
      <w:r w:rsidRPr="008F7B8B">
        <w:rPr>
          <w:b/>
          <w:bCs/>
          <w:i/>
          <w:iCs/>
          <w:sz w:val="18"/>
          <w:szCs w:val="18"/>
          <w:shd w:val="clear" w:color="auto" w:fill="FEFFFF"/>
          <w:lang w:val="en-US"/>
        </w:rPr>
        <w:t>COURSE CONTENT</w:t>
      </w:r>
    </w:p>
    <w:p w14:paraId="07012BF9" w14:textId="56B02D47" w:rsidR="00BF491F" w:rsidRPr="008F7B8B" w:rsidRDefault="00B03487" w:rsidP="00BF491F">
      <w:pPr>
        <w:spacing w:line="240" w:lineRule="exact"/>
        <w:rPr>
          <w:sz w:val="20"/>
          <w:szCs w:val="20"/>
          <w:lang w:val="en-US"/>
        </w:rPr>
      </w:pPr>
      <w:r w:rsidRPr="008F7B8B">
        <w:rPr>
          <w:sz w:val="20"/>
          <w:szCs w:val="20"/>
          <w:lang w:val="en-US"/>
        </w:rPr>
        <w:t>The course intends to consider the Black Sea from a historical perspective, as an area of interaction between different peoples, cultures and civilisations</w:t>
      </w:r>
      <w:r w:rsidR="00BF491F" w:rsidRPr="008F7B8B">
        <w:rPr>
          <w:sz w:val="20"/>
          <w:szCs w:val="20"/>
          <w:lang w:val="en-US"/>
        </w:rPr>
        <w:t xml:space="preserve">, </w:t>
      </w:r>
      <w:r w:rsidRPr="008F7B8B">
        <w:rPr>
          <w:sz w:val="20"/>
          <w:szCs w:val="20"/>
          <w:lang w:val="en-US"/>
        </w:rPr>
        <w:t>between the nineteenth and twentieth centuries</w:t>
      </w:r>
      <w:r w:rsidR="00BF491F" w:rsidRPr="008F7B8B">
        <w:rPr>
          <w:sz w:val="20"/>
          <w:szCs w:val="20"/>
          <w:lang w:val="en-US"/>
        </w:rPr>
        <w:t xml:space="preserve">, </w:t>
      </w:r>
      <w:r w:rsidRPr="008F7B8B">
        <w:rPr>
          <w:sz w:val="20"/>
          <w:szCs w:val="20"/>
          <w:lang w:val="en-US"/>
        </w:rPr>
        <w:t>up to the recent Russian-Ukrainian crisis.</w:t>
      </w:r>
    </w:p>
    <w:p w14:paraId="5300A3FB" w14:textId="7535609B" w:rsidR="00BF491F" w:rsidRPr="008F7B8B" w:rsidRDefault="00BF491F" w:rsidP="00BF491F">
      <w:pPr>
        <w:spacing w:line="240" w:lineRule="exact"/>
        <w:rPr>
          <w:sz w:val="20"/>
          <w:szCs w:val="20"/>
          <w:lang w:val="en-US"/>
        </w:rPr>
      </w:pPr>
      <w:r w:rsidRPr="008F7B8B">
        <w:rPr>
          <w:sz w:val="20"/>
          <w:szCs w:val="20"/>
          <w:lang w:val="en-US"/>
        </w:rPr>
        <w:t>1.</w:t>
      </w:r>
      <w:r w:rsidRPr="008F7B8B">
        <w:rPr>
          <w:sz w:val="20"/>
          <w:szCs w:val="20"/>
          <w:lang w:val="en-US"/>
        </w:rPr>
        <w:tab/>
      </w:r>
      <w:r w:rsidR="00B03487" w:rsidRPr="008F7B8B">
        <w:rPr>
          <w:sz w:val="20"/>
          <w:szCs w:val="20"/>
          <w:lang w:val="en-US"/>
        </w:rPr>
        <w:t>The Black Sea and the</w:t>
      </w:r>
      <w:r w:rsidRPr="008F7B8B">
        <w:rPr>
          <w:sz w:val="20"/>
          <w:szCs w:val="20"/>
          <w:lang w:val="en-US"/>
        </w:rPr>
        <w:t xml:space="preserve"> “question</w:t>
      </w:r>
      <w:r w:rsidR="00486167" w:rsidRPr="008F7B8B">
        <w:rPr>
          <w:sz w:val="20"/>
          <w:szCs w:val="20"/>
          <w:lang w:val="en-US"/>
        </w:rPr>
        <w:t xml:space="preserve"> of the East</w:t>
      </w:r>
      <w:r w:rsidRPr="008F7B8B">
        <w:rPr>
          <w:sz w:val="20"/>
          <w:szCs w:val="20"/>
          <w:lang w:val="en-US"/>
        </w:rPr>
        <w:t>”</w:t>
      </w:r>
    </w:p>
    <w:p w14:paraId="5A9FBAAF" w14:textId="5CEDA3C7" w:rsidR="00BF491F" w:rsidRPr="008F7B8B" w:rsidRDefault="00BF491F" w:rsidP="00BF491F">
      <w:pPr>
        <w:spacing w:line="240" w:lineRule="exact"/>
        <w:rPr>
          <w:sz w:val="20"/>
          <w:szCs w:val="20"/>
          <w:lang w:val="en-US"/>
        </w:rPr>
      </w:pPr>
      <w:r w:rsidRPr="008F7B8B">
        <w:rPr>
          <w:sz w:val="20"/>
          <w:szCs w:val="20"/>
          <w:lang w:val="en-US"/>
        </w:rPr>
        <w:t xml:space="preserve">2. </w:t>
      </w:r>
      <w:r w:rsidRPr="008F7B8B">
        <w:rPr>
          <w:sz w:val="20"/>
          <w:szCs w:val="20"/>
          <w:lang w:val="en-US"/>
        </w:rPr>
        <w:tab/>
      </w:r>
      <w:r w:rsidR="00486167" w:rsidRPr="008F7B8B">
        <w:rPr>
          <w:sz w:val="20"/>
          <w:szCs w:val="20"/>
          <w:lang w:val="en-US"/>
        </w:rPr>
        <w:t>The city of</w:t>
      </w:r>
      <w:r w:rsidRPr="008F7B8B">
        <w:rPr>
          <w:sz w:val="20"/>
          <w:szCs w:val="20"/>
          <w:lang w:val="en-US"/>
        </w:rPr>
        <w:t xml:space="preserve"> Odessa </w:t>
      </w:r>
      <w:r w:rsidR="00486167" w:rsidRPr="008F7B8B">
        <w:rPr>
          <w:sz w:val="20"/>
          <w:szCs w:val="20"/>
          <w:lang w:val="en-US"/>
        </w:rPr>
        <w:t>and the</w:t>
      </w:r>
      <w:r w:rsidRPr="008F7B8B">
        <w:rPr>
          <w:sz w:val="20"/>
          <w:szCs w:val="20"/>
          <w:lang w:val="en-US"/>
        </w:rPr>
        <w:t xml:space="preserve"> “n</w:t>
      </w:r>
      <w:r w:rsidR="00486167" w:rsidRPr="008F7B8B">
        <w:rPr>
          <w:sz w:val="20"/>
          <w:szCs w:val="20"/>
          <w:lang w:val="en-US"/>
        </w:rPr>
        <w:t>ew</w:t>
      </w:r>
      <w:r w:rsidRPr="008F7B8B">
        <w:rPr>
          <w:sz w:val="20"/>
          <w:szCs w:val="20"/>
          <w:lang w:val="en-US"/>
        </w:rPr>
        <w:t xml:space="preserve"> Russia”</w:t>
      </w:r>
    </w:p>
    <w:p w14:paraId="3CC9B7FF" w14:textId="591964C8" w:rsidR="00BF491F" w:rsidRPr="008F7B8B" w:rsidRDefault="00BF491F" w:rsidP="00BF491F">
      <w:pPr>
        <w:spacing w:line="240" w:lineRule="exact"/>
        <w:rPr>
          <w:sz w:val="20"/>
          <w:szCs w:val="20"/>
          <w:lang w:val="en-US"/>
        </w:rPr>
      </w:pPr>
      <w:r w:rsidRPr="008F7B8B">
        <w:rPr>
          <w:sz w:val="20"/>
          <w:szCs w:val="20"/>
          <w:lang w:val="en-US"/>
        </w:rPr>
        <w:t>3.</w:t>
      </w:r>
      <w:r w:rsidRPr="008F7B8B">
        <w:rPr>
          <w:sz w:val="20"/>
          <w:szCs w:val="20"/>
          <w:lang w:val="en-US"/>
        </w:rPr>
        <w:tab/>
      </w:r>
      <w:r w:rsidR="00486167" w:rsidRPr="008F7B8B">
        <w:rPr>
          <w:sz w:val="20"/>
          <w:szCs w:val="20"/>
          <w:lang w:val="en-US"/>
        </w:rPr>
        <w:t>After the Empires</w:t>
      </w:r>
    </w:p>
    <w:p w14:paraId="21A4851C" w14:textId="695B47EC" w:rsidR="00BF491F" w:rsidRPr="008F7B8B" w:rsidRDefault="00BF491F" w:rsidP="00BF491F">
      <w:pPr>
        <w:spacing w:line="240" w:lineRule="exact"/>
        <w:rPr>
          <w:sz w:val="20"/>
          <w:szCs w:val="20"/>
          <w:lang w:val="en-US"/>
        </w:rPr>
      </w:pPr>
      <w:r w:rsidRPr="008F7B8B">
        <w:rPr>
          <w:sz w:val="20"/>
          <w:szCs w:val="20"/>
          <w:lang w:val="en-US"/>
        </w:rPr>
        <w:t>4.</w:t>
      </w:r>
      <w:r w:rsidRPr="008F7B8B">
        <w:rPr>
          <w:sz w:val="20"/>
          <w:szCs w:val="20"/>
          <w:lang w:val="en-US"/>
        </w:rPr>
        <w:tab/>
      </w:r>
      <w:r w:rsidR="00486167" w:rsidRPr="008F7B8B">
        <w:rPr>
          <w:sz w:val="20"/>
          <w:szCs w:val="20"/>
          <w:lang w:val="en-US"/>
        </w:rPr>
        <w:t xml:space="preserve">The Black Sea </w:t>
      </w:r>
      <w:r w:rsidR="00C854AD" w:rsidRPr="008F7B8B">
        <w:rPr>
          <w:sz w:val="20"/>
          <w:szCs w:val="20"/>
          <w:lang w:val="en-US"/>
        </w:rPr>
        <w:t>in</w:t>
      </w:r>
      <w:r w:rsidR="00486167" w:rsidRPr="008F7B8B">
        <w:rPr>
          <w:sz w:val="20"/>
          <w:szCs w:val="20"/>
          <w:lang w:val="en-US"/>
        </w:rPr>
        <w:t xml:space="preserve"> the Cold War</w:t>
      </w:r>
    </w:p>
    <w:p w14:paraId="3F9343FC" w14:textId="1E4C09FB" w:rsidR="00BF491F" w:rsidRPr="008F7B8B" w:rsidRDefault="00BF491F" w:rsidP="00BF491F">
      <w:pPr>
        <w:spacing w:line="240" w:lineRule="exact"/>
        <w:rPr>
          <w:sz w:val="20"/>
          <w:szCs w:val="20"/>
          <w:lang w:val="en-US"/>
        </w:rPr>
      </w:pPr>
      <w:r w:rsidRPr="008F7B8B">
        <w:rPr>
          <w:sz w:val="20"/>
          <w:szCs w:val="20"/>
          <w:lang w:val="en-US"/>
        </w:rPr>
        <w:t>5.</w:t>
      </w:r>
      <w:r w:rsidRPr="008F7B8B">
        <w:rPr>
          <w:sz w:val="20"/>
          <w:szCs w:val="20"/>
          <w:lang w:val="en-US"/>
        </w:rPr>
        <w:tab/>
      </w:r>
      <w:r w:rsidR="00486167" w:rsidRPr="008F7B8B">
        <w:rPr>
          <w:sz w:val="20"/>
          <w:szCs w:val="20"/>
          <w:lang w:val="en-US"/>
        </w:rPr>
        <w:t>A complex legacy</w:t>
      </w:r>
      <w:r w:rsidRPr="008F7B8B">
        <w:rPr>
          <w:sz w:val="20"/>
          <w:szCs w:val="20"/>
          <w:lang w:val="en-US"/>
        </w:rPr>
        <w:t xml:space="preserve">: </w:t>
      </w:r>
      <w:r w:rsidR="00486167" w:rsidRPr="008F7B8B">
        <w:rPr>
          <w:sz w:val="20"/>
          <w:szCs w:val="20"/>
          <w:lang w:val="en-US"/>
        </w:rPr>
        <w:t>the crisis in Ukraine from a historical perspective</w:t>
      </w:r>
    </w:p>
    <w:p w14:paraId="139FA214" w14:textId="77777777" w:rsidR="00F66EBE" w:rsidRPr="008F7B8B" w:rsidRDefault="007D4401">
      <w:pPr>
        <w:pStyle w:val="CorpoA"/>
        <w:keepNext/>
        <w:spacing w:before="240" w:after="120" w:line="240" w:lineRule="exact"/>
        <w:rPr>
          <w:shd w:val="clear" w:color="auto" w:fill="FEFFFF"/>
        </w:rPr>
      </w:pPr>
      <w:r w:rsidRPr="008F7B8B">
        <w:rPr>
          <w:b/>
          <w:bCs/>
          <w:i/>
          <w:iCs/>
          <w:sz w:val="18"/>
          <w:szCs w:val="18"/>
          <w:shd w:val="clear" w:color="auto" w:fill="FEFFFF"/>
        </w:rPr>
        <w:t>READING LIST</w:t>
      </w:r>
    </w:p>
    <w:p w14:paraId="6E1996C7" w14:textId="77777777" w:rsidR="00473A40" w:rsidRPr="008F7B8B" w:rsidRDefault="00473A40" w:rsidP="00473A40">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ind w:left="284" w:hanging="284"/>
      </w:pPr>
      <w:r w:rsidRPr="008F7B8B">
        <w:t>Lecture notes.</w:t>
      </w:r>
    </w:p>
    <w:p w14:paraId="66BA555D" w14:textId="77777777" w:rsidR="00473A40" w:rsidRPr="008F7B8B" w:rsidRDefault="00473A40" w:rsidP="00473A40">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ind w:left="284" w:hanging="284"/>
      </w:pPr>
      <w:r w:rsidRPr="008F7B8B">
        <w:t xml:space="preserve">The course reading list will be provided by the lecturer. </w:t>
      </w:r>
    </w:p>
    <w:p w14:paraId="1569C168" w14:textId="77777777" w:rsidR="00F66EBE" w:rsidRPr="008F7B8B" w:rsidRDefault="007D4401">
      <w:pPr>
        <w:pStyle w:val="CorpoA"/>
        <w:spacing w:before="240" w:after="120" w:line="220" w:lineRule="exact"/>
        <w:rPr>
          <w:shd w:val="clear" w:color="auto" w:fill="FEFFFF"/>
        </w:rPr>
      </w:pPr>
      <w:r w:rsidRPr="008F7B8B">
        <w:rPr>
          <w:b/>
          <w:bCs/>
          <w:i/>
          <w:iCs/>
          <w:sz w:val="18"/>
          <w:szCs w:val="18"/>
          <w:shd w:val="clear" w:color="auto" w:fill="FEFFFF"/>
        </w:rPr>
        <w:t>TEACHING METHOD</w:t>
      </w:r>
    </w:p>
    <w:p w14:paraId="152D667C" w14:textId="77777777" w:rsidR="00F66EBE" w:rsidRPr="008F7B8B" w:rsidRDefault="007D4401">
      <w:pPr>
        <w:pStyle w:val="Testo2"/>
        <w:rPr>
          <w:rFonts w:ascii="Times New Roman" w:eastAsia="Times New Roman" w:hAnsi="Times New Roman" w:cs="Times New Roman"/>
          <w:b/>
          <w:bCs/>
          <w:i/>
          <w:iCs/>
          <w:shd w:val="clear" w:color="auto" w:fill="FEFFFF"/>
        </w:rPr>
      </w:pPr>
      <w:r w:rsidRPr="008F7B8B">
        <w:rPr>
          <w:rFonts w:ascii="Times New Roman" w:hAnsi="Times New Roman"/>
          <w:shd w:val="clear" w:color="auto" w:fill="FEFFFF"/>
        </w:rPr>
        <w:t>The course will be taught in lectures and classroom discussions based on texts and readings. There will also be educational trips. Students are, therefore, strongly advised to attend the course.</w:t>
      </w:r>
    </w:p>
    <w:p w14:paraId="09C16344" w14:textId="77777777" w:rsidR="00FB5429" w:rsidRPr="008F7B8B" w:rsidRDefault="00FB5429" w:rsidP="00FB5429">
      <w:pPr>
        <w:spacing w:before="240" w:after="120" w:line="220" w:lineRule="exact"/>
        <w:rPr>
          <w:b/>
          <w:i/>
          <w:sz w:val="18"/>
        </w:rPr>
      </w:pPr>
      <w:r w:rsidRPr="008F7B8B">
        <w:rPr>
          <w:b/>
          <w:i/>
          <w:sz w:val="18"/>
        </w:rPr>
        <w:t>ASSESSMENT METHOD AND CRITERIA</w:t>
      </w:r>
    </w:p>
    <w:p w14:paraId="5B09CE5D" w14:textId="77777777" w:rsidR="00F66EBE" w:rsidRPr="008F7B8B" w:rsidRDefault="007D4401">
      <w:pPr>
        <w:pStyle w:val="Testo2"/>
        <w:rPr>
          <w:rFonts w:ascii="Times New Roman" w:eastAsia="Times New Roman" w:hAnsi="Times New Roman" w:cs="Times New Roman"/>
          <w:shd w:val="clear" w:color="auto" w:fill="FEFFFF"/>
        </w:rPr>
      </w:pPr>
      <w:r w:rsidRPr="008F7B8B">
        <w:rPr>
          <w:rFonts w:ascii="Times New Roman" w:hAnsi="Times New Roman"/>
          <w:shd w:val="clear" w:color="auto" w:fill="FEFFFF"/>
        </w:rPr>
        <w:t xml:space="preserve">Students will be assessed based on an oral test arranged as follows: </w:t>
      </w:r>
    </w:p>
    <w:p w14:paraId="223EBB80" w14:textId="77777777" w:rsidR="00F66EBE" w:rsidRPr="008F7B8B" w:rsidRDefault="007D4401">
      <w:pPr>
        <w:pStyle w:val="Testo2"/>
        <w:rPr>
          <w:rFonts w:ascii="Times New Roman" w:eastAsia="Times New Roman" w:hAnsi="Times New Roman" w:cs="Times New Roman"/>
          <w:shd w:val="clear" w:color="auto" w:fill="FEFFFF"/>
        </w:rPr>
      </w:pPr>
      <w:r w:rsidRPr="008F7B8B">
        <w:rPr>
          <w:rFonts w:ascii="Times New Roman" w:hAnsi="Times New Roman"/>
          <w:shd w:val="clear" w:color="auto" w:fill="FEFFFF"/>
        </w:rPr>
        <w:lastRenderedPageBreak/>
        <w:t>Three questions on the books on the reading list. Students must be able to set the main topics studied in their context and describe them properly, showing they can argue and also discuss topics examined at lectures.</w:t>
      </w:r>
    </w:p>
    <w:p w14:paraId="5BABDEB0" w14:textId="77777777" w:rsidR="00F66EBE" w:rsidRPr="008F7B8B" w:rsidRDefault="007D4401" w:rsidP="00FB5429">
      <w:pPr>
        <w:pStyle w:val="Testo2"/>
        <w:rPr>
          <w:rFonts w:ascii="Times New Roman" w:eastAsia="Times New Roman" w:hAnsi="Times New Roman" w:cs="Times New Roman"/>
          <w:shd w:val="clear" w:color="auto" w:fill="FEFFFF"/>
        </w:rPr>
      </w:pPr>
      <w:r w:rsidRPr="008F7B8B">
        <w:rPr>
          <w:rFonts w:ascii="Times New Roman" w:hAnsi="Times New Roman"/>
          <w:shd w:val="clear" w:color="auto" w:fill="FEFFFF"/>
        </w:rPr>
        <w:t>Students will be assessed on a thirty-point scale and the final mark will take into account the precision and quality of their answers (70%), as well as their ability to justify any claims, analyses and opinions expressed during the oral test (30%).</w:t>
      </w:r>
    </w:p>
    <w:p w14:paraId="6B8AE0D3" w14:textId="77777777" w:rsidR="00FB5429" w:rsidRPr="008F7B8B" w:rsidRDefault="00FB5429" w:rsidP="00FB5429">
      <w:pPr>
        <w:spacing w:before="240" w:after="120"/>
        <w:rPr>
          <w:b/>
          <w:i/>
          <w:sz w:val="18"/>
        </w:rPr>
      </w:pPr>
      <w:r w:rsidRPr="008F7B8B">
        <w:rPr>
          <w:b/>
          <w:i/>
          <w:sz w:val="18"/>
        </w:rPr>
        <w:t>NOTES AND PREREQUISITES</w:t>
      </w:r>
    </w:p>
    <w:p w14:paraId="49DFE527" w14:textId="77777777" w:rsidR="00F66EBE" w:rsidRPr="008F7B8B" w:rsidRDefault="007D4401">
      <w:pPr>
        <w:pStyle w:val="CorpoA"/>
        <w:rPr>
          <w:sz w:val="18"/>
          <w:szCs w:val="18"/>
          <w:shd w:val="clear" w:color="auto" w:fill="FEFFFF"/>
        </w:rPr>
      </w:pPr>
      <w:r w:rsidRPr="008F7B8B">
        <w:rPr>
          <w:sz w:val="18"/>
          <w:szCs w:val="18"/>
          <w:shd w:val="clear" w:color="auto" w:fill="FEFFFF"/>
        </w:rPr>
        <w:tab/>
        <w:t>To prepare for the examination, students are advised to use a historical atlas.</w:t>
      </w:r>
    </w:p>
    <w:p w14:paraId="2D66F597" w14:textId="77777777" w:rsidR="00F47460" w:rsidRPr="008F7B8B" w:rsidRDefault="0043291F" w:rsidP="00F4746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8F7B8B">
        <w:rPr>
          <w:rFonts w:ascii="Times" w:hAnsi="Times"/>
          <w:sz w:val="18"/>
          <w:szCs w:val="20"/>
          <w:bdr w:val="none" w:sz="0" w:space="0" w:color="auto"/>
        </w:rPr>
        <w:t>In order to get the most out of this course, students should have a basic knowledge of the key elements of the contemporary history of Europe.</w:t>
      </w:r>
    </w:p>
    <w:p w14:paraId="61E87553" w14:textId="77777777" w:rsidR="00F66EBE" w:rsidRPr="008F7B8B" w:rsidRDefault="00811294" w:rsidP="00F47460">
      <w:pPr>
        <w:pStyle w:val="CorpoA"/>
        <w:ind w:firstLine="284"/>
        <w:rPr>
          <w:sz w:val="18"/>
          <w:szCs w:val="18"/>
          <w:shd w:val="clear" w:color="auto" w:fill="FEFFFF"/>
        </w:rPr>
      </w:pPr>
      <w:r w:rsidRPr="008F7B8B">
        <w:rPr>
          <w:sz w:val="18"/>
          <w:szCs w:val="18"/>
          <w:shd w:val="clear" w:color="auto" w:fill="FEFFFF"/>
        </w:rPr>
        <w:t>Information about course, reading list and examinations will be posted on the lecturer's webpage. Students are, therefore, advised to consult it. Students are also informed that they will not receive any email replies regarding information available on the University website.</w:t>
      </w:r>
    </w:p>
    <w:p w14:paraId="7F1CECEC" w14:textId="77777777" w:rsidR="00F66EBE" w:rsidRDefault="007D4401" w:rsidP="00F47460">
      <w:pPr>
        <w:pStyle w:val="CorpoA"/>
        <w:ind w:firstLine="284"/>
      </w:pPr>
      <w:r w:rsidRPr="008F7B8B">
        <w:rPr>
          <w:sz w:val="18"/>
          <w:szCs w:val="18"/>
          <w:shd w:val="clear" w:color="auto" w:fill="FEFFFF"/>
        </w:rPr>
        <w:t>Further information can be found on the lecturer's webpage at http://docenti.unicatt.it/web/searchByName.do?language=ENG, or on the Faculty notice board.</w:t>
      </w:r>
    </w:p>
    <w:sectPr w:rsidR="00F66EBE">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D704" w14:textId="77777777" w:rsidR="00007DF8" w:rsidRDefault="00007DF8">
      <w:r>
        <w:separator/>
      </w:r>
    </w:p>
  </w:endnote>
  <w:endnote w:type="continuationSeparator" w:id="0">
    <w:p w14:paraId="7B79EFB5" w14:textId="77777777" w:rsidR="00007DF8" w:rsidRDefault="0000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67C" w14:textId="77777777" w:rsidR="00F66EBE" w:rsidRDefault="00F66EB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16AC" w14:textId="77777777" w:rsidR="00007DF8" w:rsidRDefault="00007DF8">
      <w:r>
        <w:separator/>
      </w:r>
    </w:p>
  </w:footnote>
  <w:footnote w:type="continuationSeparator" w:id="0">
    <w:p w14:paraId="18878BE4" w14:textId="77777777" w:rsidR="00007DF8" w:rsidRDefault="0000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0E67" w14:textId="77777777" w:rsidR="00F66EBE" w:rsidRDefault="00F66EB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D6E"/>
    <w:multiLevelType w:val="hybridMultilevel"/>
    <w:tmpl w:val="0E6803A8"/>
    <w:numStyleLink w:val="Stileimportato2"/>
  </w:abstractNum>
  <w:abstractNum w:abstractNumId="1" w15:restartNumberingAfterBreak="0">
    <w:nsid w:val="3832116C"/>
    <w:multiLevelType w:val="hybridMultilevel"/>
    <w:tmpl w:val="0E6803A8"/>
    <w:styleLink w:val="Stileimportato2"/>
    <w:lvl w:ilvl="0" w:tplc="C0DEBAC6">
      <w:start w:val="1"/>
      <w:numFmt w:val="bullet"/>
      <w:lvlText w:val="–"/>
      <w:lvlJc w:val="left"/>
      <w:pPr>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B308D1D4">
      <w:start w:val="1"/>
      <w:numFmt w:val="bullet"/>
      <w:lvlText w:val="o"/>
      <w:lvlJc w:val="left"/>
      <w:pPr>
        <w:ind w:left="10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63B691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23C76">
      <w:start w:val="1"/>
      <w:numFmt w:val="bullet"/>
      <w:lvlText w:val="•"/>
      <w:lvlJc w:val="left"/>
      <w:pPr>
        <w:ind w:left="25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0746559A">
      <w:start w:val="1"/>
      <w:numFmt w:val="bullet"/>
      <w:lvlText w:val="o"/>
      <w:lvlJc w:val="left"/>
      <w:pPr>
        <w:ind w:left="32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6FFA5B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EE2D0">
      <w:start w:val="1"/>
      <w:numFmt w:val="bullet"/>
      <w:lvlText w:val="•"/>
      <w:lvlJc w:val="left"/>
      <w:pPr>
        <w:ind w:left="46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0440F5C">
      <w:start w:val="1"/>
      <w:numFmt w:val="bullet"/>
      <w:lvlText w:val="o"/>
      <w:lvlJc w:val="left"/>
      <w:pPr>
        <w:ind w:left="54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96282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C036E1"/>
    <w:multiLevelType w:val="hybridMultilevel"/>
    <w:tmpl w:val="E86E6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388909">
    <w:abstractNumId w:val="1"/>
  </w:num>
  <w:num w:numId="2" w16cid:durableId="167602481">
    <w:abstractNumId w:val="0"/>
  </w:num>
  <w:num w:numId="3" w16cid:durableId="281225799">
    <w:abstractNumId w:val="0"/>
    <w:lvlOverride w:ilvl="0">
      <w:lvl w:ilvl="0" w:tplc="89FC04CC">
        <w:start w:val="1"/>
        <w:numFmt w:val="bullet"/>
        <w:lvlText w:val="–"/>
        <w:lvlJc w:val="left"/>
        <w:pPr>
          <w:ind w:left="40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5BEAB138">
        <w:start w:val="1"/>
        <w:numFmt w:val="bullet"/>
        <w:lvlText w:val="o"/>
        <w:lvlJc w:val="left"/>
        <w:pPr>
          <w:ind w:left="112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3BC69D9C">
        <w:start w:val="1"/>
        <w:numFmt w:val="bullet"/>
        <w:lvlText w:val="▪"/>
        <w:lvlJc w:val="left"/>
        <w:pPr>
          <w:ind w:left="184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1298A9BE">
        <w:start w:val="1"/>
        <w:numFmt w:val="bullet"/>
        <w:lvlText w:val="•"/>
        <w:lvlJc w:val="left"/>
        <w:pPr>
          <w:ind w:left="256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919231E2">
        <w:start w:val="1"/>
        <w:numFmt w:val="bullet"/>
        <w:lvlText w:val="o"/>
        <w:lvlJc w:val="left"/>
        <w:pPr>
          <w:ind w:left="328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B14B8B6">
        <w:start w:val="1"/>
        <w:numFmt w:val="bullet"/>
        <w:lvlText w:val="▪"/>
        <w:lvlJc w:val="left"/>
        <w:pPr>
          <w:ind w:left="40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C4E88356">
        <w:start w:val="1"/>
        <w:numFmt w:val="bullet"/>
        <w:lvlText w:val="•"/>
        <w:lvlJc w:val="left"/>
        <w:pPr>
          <w:ind w:left="472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8DC9CFA">
        <w:start w:val="1"/>
        <w:numFmt w:val="bullet"/>
        <w:lvlText w:val="o"/>
        <w:lvlJc w:val="left"/>
        <w:pPr>
          <w:ind w:left="544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0048C88">
        <w:start w:val="1"/>
        <w:numFmt w:val="bullet"/>
        <w:lvlText w:val="▪"/>
        <w:lvlJc w:val="left"/>
        <w:pPr>
          <w:ind w:left="616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16cid:durableId="891692986">
    <w:abstractNumId w:val="0"/>
    <w:lvlOverride w:ilvl="0">
      <w:lvl w:ilvl="0" w:tplc="89FC04CC">
        <w:start w:val="1"/>
        <w:numFmt w:val="bullet"/>
        <w:lvlText w:val="–"/>
        <w:lvlJc w:val="left"/>
        <w:pPr>
          <w:tabs>
            <w:tab w:val="num" w:pos="360"/>
          </w:tabs>
          <w:ind w:left="436" w:hanging="436"/>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5BEAB138">
        <w:start w:val="1"/>
        <w:numFmt w:val="bullet"/>
        <w:lvlText w:val="o"/>
        <w:lvlJc w:val="left"/>
        <w:pPr>
          <w:tabs>
            <w:tab w:val="left" w:pos="320"/>
            <w:tab w:val="num" w:pos="1176"/>
          </w:tabs>
          <w:ind w:left="125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3BC69D9C">
        <w:start w:val="1"/>
        <w:numFmt w:val="bullet"/>
        <w:lvlText w:val="▪"/>
        <w:lvlJc w:val="left"/>
        <w:pPr>
          <w:tabs>
            <w:tab w:val="left" w:pos="320"/>
            <w:tab w:val="num" w:pos="1896"/>
          </w:tabs>
          <w:ind w:left="1972" w:hanging="5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1298A9BE">
        <w:start w:val="1"/>
        <w:numFmt w:val="bullet"/>
        <w:lvlText w:val="•"/>
        <w:lvlJc w:val="left"/>
        <w:pPr>
          <w:tabs>
            <w:tab w:val="left" w:pos="320"/>
            <w:tab w:val="num" w:pos="2616"/>
          </w:tabs>
          <w:ind w:left="269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919231E2">
        <w:start w:val="1"/>
        <w:numFmt w:val="bullet"/>
        <w:lvlText w:val="o"/>
        <w:lvlJc w:val="left"/>
        <w:pPr>
          <w:tabs>
            <w:tab w:val="left" w:pos="320"/>
            <w:tab w:val="num" w:pos="3336"/>
          </w:tabs>
          <w:ind w:left="341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B14B8B6">
        <w:start w:val="1"/>
        <w:numFmt w:val="bullet"/>
        <w:lvlText w:val="▪"/>
        <w:lvlJc w:val="left"/>
        <w:pPr>
          <w:tabs>
            <w:tab w:val="left" w:pos="320"/>
            <w:tab w:val="num" w:pos="4056"/>
          </w:tabs>
          <w:ind w:left="4132" w:hanging="5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C4E88356">
        <w:start w:val="1"/>
        <w:numFmt w:val="bullet"/>
        <w:lvlText w:val="•"/>
        <w:lvlJc w:val="left"/>
        <w:pPr>
          <w:tabs>
            <w:tab w:val="left" w:pos="320"/>
            <w:tab w:val="num" w:pos="4776"/>
          </w:tabs>
          <w:ind w:left="485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8DC9CFA">
        <w:start w:val="1"/>
        <w:numFmt w:val="bullet"/>
        <w:lvlText w:val="o"/>
        <w:lvlJc w:val="left"/>
        <w:pPr>
          <w:tabs>
            <w:tab w:val="left" w:pos="320"/>
            <w:tab w:val="num" w:pos="5496"/>
          </w:tabs>
          <w:ind w:left="557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0048C88">
        <w:start w:val="1"/>
        <w:numFmt w:val="bullet"/>
        <w:lvlText w:val="▪"/>
        <w:lvlJc w:val="left"/>
        <w:pPr>
          <w:tabs>
            <w:tab w:val="left" w:pos="320"/>
            <w:tab w:val="num" w:pos="6216"/>
          </w:tabs>
          <w:ind w:left="6292" w:hanging="5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 w16cid:durableId="389425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BE"/>
    <w:rsid w:val="00007DF8"/>
    <w:rsid w:val="00060875"/>
    <w:rsid w:val="00127D0F"/>
    <w:rsid w:val="0017033F"/>
    <w:rsid w:val="001A1802"/>
    <w:rsid w:val="001F4546"/>
    <w:rsid w:val="002817E4"/>
    <w:rsid w:val="002E190F"/>
    <w:rsid w:val="003918D1"/>
    <w:rsid w:val="003C7F47"/>
    <w:rsid w:val="003F08A4"/>
    <w:rsid w:val="00410D19"/>
    <w:rsid w:val="0043291F"/>
    <w:rsid w:val="00462C84"/>
    <w:rsid w:val="00473A40"/>
    <w:rsid w:val="004806A0"/>
    <w:rsid w:val="00486167"/>
    <w:rsid w:val="005B7CFF"/>
    <w:rsid w:val="00602379"/>
    <w:rsid w:val="00607B3B"/>
    <w:rsid w:val="0061111C"/>
    <w:rsid w:val="00783B9B"/>
    <w:rsid w:val="007D19D6"/>
    <w:rsid w:val="007D4401"/>
    <w:rsid w:val="00811294"/>
    <w:rsid w:val="0086513C"/>
    <w:rsid w:val="008F7B8B"/>
    <w:rsid w:val="0094142C"/>
    <w:rsid w:val="00965E48"/>
    <w:rsid w:val="00966A13"/>
    <w:rsid w:val="009B20C6"/>
    <w:rsid w:val="00A8132C"/>
    <w:rsid w:val="00AC0409"/>
    <w:rsid w:val="00B03487"/>
    <w:rsid w:val="00BF0CCE"/>
    <w:rsid w:val="00BF491F"/>
    <w:rsid w:val="00C52EA8"/>
    <w:rsid w:val="00C854AD"/>
    <w:rsid w:val="00D20543"/>
    <w:rsid w:val="00DE6D0B"/>
    <w:rsid w:val="00E43DC3"/>
    <w:rsid w:val="00EA59BE"/>
    <w:rsid w:val="00EF6378"/>
    <w:rsid w:val="00F47460"/>
    <w:rsid w:val="00F66EBE"/>
    <w:rsid w:val="00F7719E"/>
    <w:rsid w:val="00FB5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85FC"/>
  <w15:docId w15:val="{C8AEE93D-6974-466F-8710-114705BB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spacing w:line="276" w:lineRule="auto"/>
      <w:jc w:val="both"/>
    </w:pPr>
    <w:rPr>
      <w:rFonts w:cs="Arial Unicode MS"/>
      <w:color w:val="000000"/>
      <w:kern w:val="1"/>
      <w:u w:color="000000"/>
    </w:rPr>
  </w:style>
  <w:style w:type="paragraph" w:customStyle="1" w:styleId="Intestazione2">
    <w:name w:val="Intestazione 2"/>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Testo1">
    <w:name w:val="Testo 1"/>
    <w:pPr>
      <w:suppressAutoHyphens/>
      <w:spacing w:line="220" w:lineRule="exact"/>
      <w:ind w:left="284" w:hanging="284"/>
      <w:jc w:val="both"/>
    </w:pPr>
    <w:rPr>
      <w:rFonts w:ascii="Times" w:hAnsi="Times" w:cs="Arial Unicode MS"/>
      <w:color w:val="000000"/>
      <w:kern w:val="1"/>
      <w:sz w:val="18"/>
      <w:szCs w:val="18"/>
      <w:u w:color="000000"/>
    </w:rPr>
  </w:style>
  <w:style w:type="numbering" w:customStyle="1" w:styleId="Stileimportato2">
    <w:name w:val="Stile importato 2"/>
    <w:pPr>
      <w:numPr>
        <w:numId w:val="1"/>
      </w:numPr>
    </w:pPr>
  </w:style>
  <w:style w:type="paragraph" w:customStyle="1" w:styleId="Testo2">
    <w:name w:val="Testo 2"/>
    <w:pPr>
      <w:suppressAutoHyphens/>
      <w:spacing w:line="220" w:lineRule="exact"/>
      <w:ind w:firstLine="284"/>
      <w:jc w:val="both"/>
    </w:pPr>
    <w:rPr>
      <w:rFonts w:ascii="Times" w:hAnsi="Times" w:cs="Arial Unicode MS"/>
      <w:color w:val="000000"/>
      <w:kern w:val="1"/>
      <w:sz w:val="18"/>
      <w:szCs w:val="18"/>
      <w:u w:color="000000"/>
    </w:rPr>
  </w:style>
  <w:style w:type="paragraph" w:customStyle="1" w:styleId="ecxmsonormal">
    <w:name w:val="ecxmsonormal"/>
    <w:pPr>
      <w:suppressAutoHyphens/>
      <w:spacing w:before="100" w:after="100" w:line="100" w:lineRule="atLeast"/>
    </w:pPr>
    <w:rPr>
      <w:rFonts w:cs="Arial Unicode MS"/>
      <w:color w:val="000000"/>
      <w:kern w:val="1"/>
      <w:sz w:val="24"/>
      <w:szCs w:val="24"/>
      <w:u w:color="000000"/>
    </w:rPr>
  </w:style>
  <w:style w:type="paragraph" w:styleId="Testofumetto">
    <w:name w:val="Balloon Text"/>
    <w:basedOn w:val="Normale"/>
    <w:link w:val="TestofumettoCarattere"/>
    <w:uiPriority w:val="99"/>
    <w:semiHidden/>
    <w:unhideWhenUsed/>
    <w:rsid w:val="00473A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3A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2023-06-27T09:36:00Z</dcterms:created>
  <dcterms:modified xsi:type="dcterms:W3CDTF">2024-01-10T08:23:00Z</dcterms:modified>
</cp:coreProperties>
</file>