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2B86" w14:textId="77777777" w:rsidR="00F0795C" w:rsidRPr="007C5606" w:rsidRDefault="00EA3683">
      <w:pPr>
        <w:pStyle w:val="Intestazione"/>
        <w:rPr>
          <w:shd w:val="clear" w:color="auto" w:fill="FEFFFF"/>
        </w:rPr>
      </w:pPr>
      <w:r w:rsidRPr="007C5606">
        <w:rPr>
          <w:shd w:val="clear" w:color="auto" w:fill="FEFFFF"/>
        </w:rPr>
        <w:t>Medieval and Humanistic Philology</w:t>
      </w:r>
    </w:p>
    <w:p w14:paraId="56C2A2A6" w14:textId="77777777" w:rsidR="00F0795C" w:rsidRPr="007C5606" w:rsidRDefault="00EA3683" w:rsidP="00EA3683">
      <w:pPr>
        <w:pStyle w:val="Intestazione2"/>
        <w:rPr>
          <w:shd w:val="clear" w:color="auto" w:fill="FEFFFF"/>
        </w:rPr>
      </w:pPr>
      <w:r w:rsidRPr="007C5606">
        <w:rPr>
          <w:shd w:val="clear" w:color="auto" w:fill="FEFFFF"/>
        </w:rPr>
        <w:t>Prof. Carla Maria Monti</w:t>
      </w:r>
    </w:p>
    <w:p w14:paraId="03E69486" w14:textId="474D8919" w:rsidR="00C37004" w:rsidRPr="007C5606" w:rsidRDefault="00C37004" w:rsidP="00C37004">
      <w:pPr>
        <w:spacing w:before="240" w:after="120"/>
        <w:rPr>
          <w:b/>
          <w:i/>
          <w:sz w:val="18"/>
        </w:rPr>
      </w:pPr>
      <w:r w:rsidRPr="007C5606">
        <w:rPr>
          <w:b/>
          <w:i/>
          <w:sz w:val="18"/>
        </w:rPr>
        <w:t xml:space="preserve">COURSE AIMS AND INTENDED LEARNING OUTCOMES </w:t>
      </w:r>
    </w:p>
    <w:p w14:paraId="3FDC8078" w14:textId="77777777" w:rsidR="00F0795C" w:rsidRPr="007C5606" w:rsidRDefault="003210BF">
      <w:pPr>
        <w:pStyle w:val="Intestazione3"/>
        <w:spacing w:before="0" w:after="0"/>
        <w:rPr>
          <w:caps w:val="0"/>
          <w:sz w:val="20"/>
          <w:szCs w:val="20"/>
          <w:shd w:val="clear" w:color="auto" w:fill="FEFFFF"/>
        </w:rPr>
      </w:pPr>
      <w:r w:rsidRPr="007C5606">
        <w:rPr>
          <w:i w:val="0"/>
          <w:iCs w:val="0"/>
          <w:caps w:val="0"/>
          <w:smallCaps/>
          <w:shd w:val="clear" w:color="auto" w:fill="FEFFFF"/>
        </w:rPr>
        <w:t xml:space="preserve">Module </w:t>
      </w:r>
      <w:r w:rsidRPr="007C5606">
        <w:rPr>
          <w:i w:val="0"/>
          <w:iCs w:val="0"/>
          <w:smallCaps/>
          <w:shd w:val="clear" w:color="auto" w:fill="FEFFFF"/>
        </w:rPr>
        <w:t xml:space="preserve">1 </w:t>
      </w:r>
    </w:p>
    <w:p w14:paraId="09394062" w14:textId="2C14CDE7" w:rsidR="00457F88" w:rsidRPr="007C5606" w:rsidRDefault="00EA3683" w:rsidP="00457F88">
      <w:pPr>
        <w:spacing w:line="240" w:lineRule="exact"/>
        <w:rPr>
          <w:rFonts w:eastAsia="Calibri"/>
          <w:sz w:val="20"/>
          <w:bdr w:val="none" w:sz="0" w:space="0" w:color="auto"/>
        </w:rPr>
      </w:pPr>
      <w:r w:rsidRPr="007C5606">
        <w:rPr>
          <w:sz w:val="20"/>
          <w:szCs w:val="20"/>
          <w:shd w:val="clear" w:color="auto" w:fill="FEFFFF"/>
        </w:rPr>
        <w:t xml:space="preserve">The course aims to introduce students to the knowledge of Humanism through the tools of literature, philology, and history of culture, by specifically focussing on the preponderant production in Latin language (the texts will always be provided with a translation or will be translated). The course will also cover the essential contribution of classical and Patristic sources, whose knowledge is renewed by Humanism through the development of new literary genres, and the contribution of the philological method in the way texts are approached. </w:t>
      </w:r>
      <w:r w:rsidRPr="007C5606">
        <w:rPr>
          <w:sz w:val="20"/>
          <w:bdr w:val="none" w:sz="0" w:space="0" w:color="auto"/>
        </w:rPr>
        <w:t>By the end of the course, students will be able to recognise Petrarch and Boccaccio as initiators of the humanistic movement through the examination of their remarkable works in Latin, and recognise Dante’s different approach to classical heritage. They will also be aware of the revival of the Latin and Greek classics and the renewal of literary genres during this period, and of the cultural profile of the main literary men of the 15</w:t>
      </w:r>
      <w:r w:rsidRPr="007C5606">
        <w:rPr>
          <w:sz w:val="20"/>
          <w:bdr w:val="none" w:sz="0" w:space="0" w:color="auto"/>
          <w:vertAlign w:val="superscript"/>
        </w:rPr>
        <w:t>th</w:t>
      </w:r>
      <w:r w:rsidRPr="007C5606">
        <w:rPr>
          <w:sz w:val="20"/>
          <w:bdr w:val="none" w:sz="0" w:space="0" w:color="auto"/>
        </w:rPr>
        <w:t xml:space="preserve"> century, as promoters of a movement that has permanently shaped Western culture. </w:t>
      </w:r>
    </w:p>
    <w:p w14:paraId="74679955" w14:textId="77777777" w:rsidR="00F0795C" w:rsidRPr="007C5606" w:rsidRDefault="003210BF" w:rsidP="00457F88">
      <w:pPr>
        <w:spacing w:before="120" w:line="240" w:lineRule="exact"/>
        <w:rPr>
          <w:caps/>
          <w:sz w:val="14"/>
          <w:szCs w:val="20"/>
          <w:shd w:val="clear" w:color="auto" w:fill="FEFFFF"/>
        </w:rPr>
      </w:pPr>
      <w:r w:rsidRPr="007C5606">
        <w:rPr>
          <w:smallCaps/>
          <w:sz w:val="18"/>
          <w:shd w:val="clear" w:color="auto" w:fill="FEFFFF"/>
        </w:rPr>
        <w:t xml:space="preserve">Module A </w:t>
      </w:r>
    </w:p>
    <w:p w14:paraId="2472D1FD" w14:textId="702D9DA1" w:rsidR="00F1515A" w:rsidRPr="007C5606" w:rsidRDefault="00F1515A" w:rsidP="00F1515A">
      <w:pPr>
        <w:spacing w:line="240" w:lineRule="exact"/>
        <w:rPr>
          <w:rFonts w:eastAsia="MS Mincho"/>
          <w:sz w:val="20"/>
          <w:szCs w:val="20"/>
        </w:rPr>
      </w:pPr>
      <w:r w:rsidRPr="007C5606">
        <w:rPr>
          <w:sz w:val="20"/>
          <w:szCs w:val="20"/>
        </w:rPr>
        <w:t xml:space="preserve">Around 1335, on the front endpaper of a codex containing works by Cassiodorus and Augustine, Petrarch wrote three prayers of his invention, one very long, one short, which would become his daily prayer, and one very short. </w:t>
      </w:r>
      <w:r w:rsidR="006859C0" w:rsidRPr="007C5606">
        <w:rPr>
          <w:sz w:val="20"/>
          <w:szCs w:val="20"/>
        </w:rPr>
        <w:t xml:space="preserve">Some </w:t>
      </w:r>
      <w:r w:rsidRPr="007C5606">
        <w:rPr>
          <w:sz w:val="20"/>
          <w:szCs w:val="20"/>
        </w:rPr>
        <w:t xml:space="preserve">prayers composed by him are also found in his letters, others are attributed to him with a different degree of reliability by the manuscript tradition. In 1347 he composed for himself seven </w:t>
      </w:r>
      <w:r w:rsidRPr="007C5606">
        <w:rPr>
          <w:i/>
          <w:iCs/>
          <w:sz w:val="20"/>
          <w:szCs w:val="20"/>
        </w:rPr>
        <w:t>Psalms</w:t>
      </w:r>
      <w:r w:rsidRPr="007C5606">
        <w:rPr>
          <w:sz w:val="20"/>
          <w:szCs w:val="20"/>
        </w:rPr>
        <w:t xml:space="preserve">, in imitation of the seven Davidic psalms that tradition selected in antiquity for penitential purposes. This was a great challenge not only of a spiritual but also of a literary nature: the Psalms are in fact structured according to quite different poetic rules from those of the classical tradition. Petrarch's prayers and Psalms reveal his profoundly spiritual and religious character, </w:t>
      </w:r>
      <w:r w:rsidR="00E146D0" w:rsidRPr="007C5606">
        <w:rPr>
          <w:sz w:val="20"/>
          <w:szCs w:val="20"/>
        </w:rPr>
        <w:t xml:space="preserve">which is </w:t>
      </w:r>
      <w:r w:rsidRPr="007C5606">
        <w:rPr>
          <w:sz w:val="20"/>
          <w:szCs w:val="20"/>
        </w:rPr>
        <w:t xml:space="preserve">also reflected in many of his other works, and in particular in </w:t>
      </w:r>
      <w:r w:rsidRPr="007C5606">
        <w:rPr>
          <w:i/>
          <w:iCs/>
          <w:sz w:val="20"/>
          <w:szCs w:val="20"/>
        </w:rPr>
        <w:t xml:space="preserve">De vita solitaria </w:t>
      </w:r>
      <w:r w:rsidRPr="007C5606">
        <w:rPr>
          <w:sz w:val="20"/>
          <w:szCs w:val="20"/>
        </w:rPr>
        <w:t xml:space="preserve">and </w:t>
      </w:r>
      <w:r w:rsidRPr="007C5606">
        <w:rPr>
          <w:i/>
          <w:iCs/>
          <w:sz w:val="20"/>
          <w:szCs w:val="20"/>
        </w:rPr>
        <w:t>De otio religioso</w:t>
      </w:r>
      <w:r w:rsidRPr="007C5606">
        <w:rPr>
          <w:sz w:val="20"/>
          <w:szCs w:val="20"/>
        </w:rPr>
        <w:t>, and even in the intimate space of the footnotes to his manuscripts, where he writes: “</w:t>
      </w:r>
      <w:r w:rsidRPr="007C5606">
        <w:rPr>
          <w:i/>
          <w:iCs/>
          <w:sz w:val="20"/>
          <w:szCs w:val="20"/>
        </w:rPr>
        <w:t>Attende et ad Cristum refer</w:t>
      </w:r>
      <w:r w:rsidRPr="007C5606">
        <w:rPr>
          <w:sz w:val="20"/>
          <w:szCs w:val="20"/>
        </w:rPr>
        <w:t>”.</w:t>
      </w:r>
    </w:p>
    <w:p w14:paraId="4EC395CA" w14:textId="77777777" w:rsidR="00F0795C" w:rsidRPr="007C5606" w:rsidRDefault="00EA3683">
      <w:pPr>
        <w:pStyle w:val="CorpoA"/>
        <w:spacing w:before="240" w:after="120" w:line="240" w:lineRule="exact"/>
        <w:rPr>
          <w:b/>
          <w:bCs/>
          <w:sz w:val="18"/>
          <w:szCs w:val="18"/>
          <w:shd w:val="clear" w:color="auto" w:fill="FEFFFF"/>
        </w:rPr>
      </w:pPr>
      <w:r w:rsidRPr="007C5606">
        <w:rPr>
          <w:b/>
          <w:bCs/>
          <w:i/>
          <w:iCs/>
          <w:sz w:val="18"/>
          <w:szCs w:val="18"/>
          <w:shd w:val="clear" w:color="auto" w:fill="FEFFFF"/>
        </w:rPr>
        <w:t>COURSE CONTENT</w:t>
      </w:r>
    </w:p>
    <w:p w14:paraId="405650A2" w14:textId="77777777" w:rsidR="00F0795C" w:rsidRPr="007C5606" w:rsidRDefault="003210BF">
      <w:pPr>
        <w:pStyle w:val="Intestazione3"/>
        <w:spacing w:before="0" w:after="0"/>
        <w:rPr>
          <w:caps w:val="0"/>
          <w:sz w:val="20"/>
          <w:szCs w:val="20"/>
          <w:shd w:val="clear" w:color="auto" w:fill="FEFFFF"/>
        </w:rPr>
      </w:pPr>
      <w:r w:rsidRPr="007C5606">
        <w:rPr>
          <w:i w:val="0"/>
          <w:iCs w:val="0"/>
          <w:caps w:val="0"/>
          <w:smallCaps/>
          <w:shd w:val="clear" w:color="auto" w:fill="FEFFFF"/>
        </w:rPr>
        <w:t>Module</w:t>
      </w:r>
      <w:r w:rsidRPr="007C5606">
        <w:rPr>
          <w:i w:val="0"/>
          <w:iCs w:val="0"/>
          <w:smallCaps/>
          <w:shd w:val="clear" w:color="auto" w:fill="FEFFFF"/>
        </w:rPr>
        <w:t xml:space="preserve"> 1</w:t>
      </w:r>
    </w:p>
    <w:p w14:paraId="4A60200E" w14:textId="2FD36D52" w:rsidR="00F0795C" w:rsidRPr="007C5606" w:rsidRDefault="008D37FD">
      <w:pPr>
        <w:pStyle w:val="CorpoA"/>
        <w:rPr>
          <w:shd w:val="clear" w:color="auto" w:fill="FEFFFF"/>
        </w:rPr>
      </w:pPr>
      <w:r w:rsidRPr="007C5606">
        <w:rPr>
          <w:shd w:val="clear" w:color="auto" w:fill="FEFFFF"/>
        </w:rPr>
        <w:lastRenderedPageBreak/>
        <w:t xml:space="preserve">Dante and the classics. The recovery of the classics and their echoes in Humanistic literature. Petrarch’s and Humanistic collections of works. The birth of philological awareness and terminology. Theory and practice of imitation. A brief overview of ecdotics applied to Latin medieval and humanistic texts. In particular, students will analyse some passages from works by Petrarch, Boccaccio, Bruni, Bracciolini, and Valla on the recovery of the classics and fathers, on the damage caused by copyists, and the relationship with books and imitation.  </w:t>
      </w:r>
    </w:p>
    <w:p w14:paraId="64BAA4AE" w14:textId="77777777" w:rsidR="00F0795C" w:rsidRPr="007C5606" w:rsidRDefault="003210BF">
      <w:pPr>
        <w:pStyle w:val="Intestazione3"/>
        <w:spacing w:before="120" w:after="0"/>
        <w:rPr>
          <w:caps w:val="0"/>
          <w:sz w:val="20"/>
          <w:szCs w:val="20"/>
          <w:shd w:val="clear" w:color="auto" w:fill="FEFFFF"/>
        </w:rPr>
      </w:pPr>
      <w:r w:rsidRPr="007C5606">
        <w:rPr>
          <w:i w:val="0"/>
          <w:iCs w:val="0"/>
          <w:caps w:val="0"/>
          <w:smallCaps/>
          <w:shd w:val="clear" w:color="auto" w:fill="FEFFFF"/>
        </w:rPr>
        <w:t>Module</w:t>
      </w:r>
      <w:r w:rsidRPr="007C5606">
        <w:rPr>
          <w:i w:val="0"/>
          <w:iCs w:val="0"/>
          <w:smallCaps/>
          <w:shd w:val="clear" w:color="auto" w:fill="FEFFFF"/>
        </w:rPr>
        <w:t xml:space="preserve"> A</w:t>
      </w:r>
    </w:p>
    <w:p w14:paraId="6AF3D709" w14:textId="77777777" w:rsidR="00F1515A" w:rsidRPr="007C5606" w:rsidRDefault="00F1515A" w:rsidP="00F1515A">
      <w:pPr>
        <w:spacing w:line="240" w:lineRule="exact"/>
        <w:rPr>
          <w:rFonts w:eastAsia="MS Mincho"/>
          <w:sz w:val="20"/>
          <w:szCs w:val="20"/>
        </w:rPr>
      </w:pPr>
      <w:r w:rsidRPr="007C5606">
        <w:rPr>
          <w:sz w:val="20"/>
          <w:szCs w:val="20"/>
        </w:rPr>
        <w:t>Petrarch and prayer.</w:t>
      </w:r>
    </w:p>
    <w:p w14:paraId="01CDEA0C" w14:textId="77777777" w:rsidR="00F0795C" w:rsidRPr="007C5606" w:rsidRDefault="00EA3683">
      <w:pPr>
        <w:pStyle w:val="CorpoA"/>
        <w:keepNext/>
        <w:spacing w:before="240" w:after="120" w:line="240" w:lineRule="exact"/>
        <w:rPr>
          <w:b/>
          <w:bCs/>
          <w:sz w:val="18"/>
          <w:szCs w:val="18"/>
          <w:shd w:val="clear" w:color="auto" w:fill="FEFFFF"/>
        </w:rPr>
      </w:pPr>
      <w:r w:rsidRPr="007C5606">
        <w:rPr>
          <w:b/>
          <w:bCs/>
          <w:i/>
          <w:iCs/>
          <w:sz w:val="18"/>
          <w:szCs w:val="18"/>
          <w:shd w:val="clear" w:color="auto" w:fill="FEFFFF"/>
        </w:rPr>
        <w:t>READING LIST</w:t>
      </w:r>
    </w:p>
    <w:p w14:paraId="53988249" w14:textId="77777777" w:rsidR="00ED6788" w:rsidRPr="007C5606" w:rsidRDefault="00EA3683" w:rsidP="00ED6788">
      <w:pPr>
        <w:pStyle w:val="Testo1"/>
        <w:rPr>
          <w:sz w:val="20"/>
          <w:szCs w:val="20"/>
          <w:shd w:val="clear" w:color="auto" w:fill="FEFFFF"/>
        </w:rPr>
      </w:pPr>
      <w:r w:rsidRPr="007C5606">
        <w:rPr>
          <w:shd w:val="clear" w:color="auto" w:fill="FEFFFF"/>
        </w:rPr>
        <w:t>For Module 1</w:t>
      </w:r>
    </w:p>
    <w:p w14:paraId="1CCAFFA5" w14:textId="77777777" w:rsidR="00F0795C" w:rsidRPr="007C5606" w:rsidRDefault="00EA3683">
      <w:pPr>
        <w:pStyle w:val="Testo1"/>
        <w:spacing w:before="0" w:line="240" w:lineRule="atLeast"/>
        <w:rPr>
          <w:shd w:val="clear" w:color="auto" w:fill="FEFFFF"/>
        </w:rPr>
      </w:pPr>
      <w:r w:rsidRPr="007C5606">
        <w:rPr>
          <w:smallCaps/>
          <w:sz w:val="16"/>
          <w:szCs w:val="16"/>
          <w:shd w:val="clear" w:color="auto" w:fill="FEFFFF"/>
        </w:rPr>
        <w:t>G. Billanovich,</w:t>
      </w:r>
      <w:r w:rsidRPr="007C5606">
        <w:rPr>
          <w:i/>
          <w:iCs/>
          <w:shd w:val="clear" w:color="auto" w:fill="FEFFFF"/>
        </w:rPr>
        <w:t xml:space="preserve"> Petrarca e il Ventoso</w:t>
      </w:r>
      <w:r w:rsidRPr="007C5606">
        <w:rPr>
          <w:shd w:val="clear" w:color="auto" w:fill="FEFFFF"/>
        </w:rPr>
        <w:t>, “Italia medioevale e umanistica”, 9 (1966), pp. 389-401 (reprinted in idem</w:t>
      </w:r>
      <w:r w:rsidRPr="007C5606">
        <w:rPr>
          <w:smallCaps/>
          <w:shd w:val="clear" w:color="auto" w:fill="FEFFFF"/>
        </w:rPr>
        <w:t>,</w:t>
      </w:r>
      <w:r w:rsidRPr="007C5606">
        <w:rPr>
          <w:shd w:val="clear" w:color="auto" w:fill="FEFFFF"/>
        </w:rPr>
        <w:t xml:space="preserve"> </w:t>
      </w:r>
      <w:r w:rsidRPr="007C5606">
        <w:rPr>
          <w:i/>
          <w:iCs/>
          <w:shd w:val="clear" w:color="auto" w:fill="FEFFFF"/>
        </w:rPr>
        <w:t>Petrarca e il primo umanesimo</w:t>
      </w:r>
      <w:r w:rsidRPr="007C5606">
        <w:rPr>
          <w:shd w:val="clear" w:color="auto" w:fill="FEFFFF"/>
        </w:rPr>
        <w:t xml:space="preserve">, Antenore, Padua, 1996, pp. 168-84). </w:t>
      </w:r>
    </w:p>
    <w:p w14:paraId="32BE0E3F" w14:textId="77777777" w:rsidR="00ED6788" w:rsidRPr="007C5606" w:rsidRDefault="00ED6788" w:rsidP="00ED6788">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284" w:hanging="284"/>
        <w:jc w:val="both"/>
        <w:rPr>
          <w:rFonts w:ascii="Times" w:eastAsia="Times New Roman" w:hAnsi="Times"/>
          <w:noProof/>
          <w:spacing w:val="-5"/>
          <w:sz w:val="18"/>
          <w:szCs w:val="18"/>
          <w:bdr w:val="none" w:sz="0" w:space="0" w:color="auto"/>
        </w:rPr>
      </w:pPr>
      <w:r w:rsidRPr="007C5606">
        <w:rPr>
          <w:rFonts w:ascii="Times" w:hAnsi="Times"/>
          <w:smallCaps/>
          <w:sz w:val="16"/>
          <w:szCs w:val="16"/>
          <w:bdr w:val="none" w:sz="0" w:space="0" w:color="auto"/>
        </w:rPr>
        <w:t>L. Battaglia Ricci</w:t>
      </w:r>
      <w:r w:rsidRPr="007C5606">
        <w:rPr>
          <w:rFonts w:ascii="Times" w:hAnsi="Times"/>
          <w:smallCaps/>
          <w:sz w:val="18"/>
          <w:szCs w:val="18"/>
          <w:bdr w:val="none" w:sz="0" w:space="0" w:color="auto"/>
        </w:rPr>
        <w:t>,</w:t>
      </w:r>
      <w:r w:rsidRPr="007C5606">
        <w:rPr>
          <w:rFonts w:ascii="Times" w:hAnsi="Times"/>
          <w:i/>
          <w:sz w:val="18"/>
          <w:szCs w:val="18"/>
          <w:bdr w:val="none" w:sz="0" w:space="0" w:color="auto"/>
        </w:rPr>
        <w:t xml:space="preserve"> Giovanni Boccaccio</w:t>
      </w:r>
      <w:r w:rsidRPr="007C5606">
        <w:rPr>
          <w:rFonts w:ascii="Times" w:hAnsi="Times"/>
          <w:sz w:val="18"/>
          <w:szCs w:val="18"/>
          <w:bdr w:val="none" w:sz="0" w:space="0" w:color="auto"/>
        </w:rPr>
        <w:t xml:space="preserve">, in </w:t>
      </w:r>
      <w:r w:rsidRPr="007C5606">
        <w:rPr>
          <w:rFonts w:ascii="Times" w:hAnsi="Times"/>
          <w:i/>
          <w:sz w:val="18"/>
          <w:szCs w:val="18"/>
          <w:bdr w:val="none" w:sz="0" w:space="0" w:color="auto"/>
        </w:rPr>
        <w:t>Storia della letteratura italiana</w:t>
      </w:r>
      <w:r w:rsidRPr="007C5606">
        <w:rPr>
          <w:rFonts w:ascii="Times" w:hAnsi="Times"/>
          <w:sz w:val="18"/>
          <w:szCs w:val="18"/>
          <w:bdr w:val="none" w:sz="0" w:space="0" w:color="auto"/>
        </w:rPr>
        <w:t xml:space="preserve">, II. </w:t>
      </w:r>
      <w:r w:rsidRPr="007C5606">
        <w:rPr>
          <w:rFonts w:ascii="Times" w:hAnsi="Times"/>
          <w:i/>
          <w:sz w:val="18"/>
          <w:szCs w:val="18"/>
          <w:bdr w:val="none" w:sz="0" w:space="0" w:color="auto"/>
        </w:rPr>
        <w:t>Il Trecento</w:t>
      </w:r>
      <w:r w:rsidRPr="007C5606">
        <w:rPr>
          <w:rFonts w:ascii="Times" w:hAnsi="Times"/>
          <w:sz w:val="18"/>
          <w:szCs w:val="18"/>
          <w:bdr w:val="none" w:sz="0" w:space="0" w:color="auto"/>
        </w:rPr>
        <w:t>, Salerno Editrice, Rome 1995, p. 727-877, p. 733-742 (biography); 750-755 (the first works); 830-844 (the Latin production); 844-857 (last works and the Dantesque production); 857-868 (Boccaccio as a precursor to Humanism).</w:t>
      </w:r>
    </w:p>
    <w:p w14:paraId="40354E4B" w14:textId="77777777" w:rsidR="00F0795C" w:rsidRPr="007C5606" w:rsidRDefault="00EA3683">
      <w:pPr>
        <w:pStyle w:val="CorpoA"/>
        <w:tabs>
          <w:tab w:val="clear" w:pos="284"/>
        </w:tabs>
        <w:spacing w:line="240" w:lineRule="atLeast"/>
        <w:ind w:left="284" w:hanging="284"/>
        <w:rPr>
          <w:rFonts w:ascii="Times" w:eastAsia="Times" w:hAnsi="Times" w:cs="Times"/>
          <w:spacing w:val="-5"/>
          <w:sz w:val="18"/>
          <w:szCs w:val="18"/>
          <w:shd w:val="clear" w:color="auto" w:fill="FEFFFF"/>
        </w:rPr>
      </w:pPr>
      <w:r w:rsidRPr="007C5606">
        <w:rPr>
          <w:rFonts w:ascii="Times" w:hAnsi="Times"/>
          <w:smallCaps/>
          <w:sz w:val="16"/>
          <w:szCs w:val="16"/>
          <w:shd w:val="clear" w:color="auto" w:fill="FEFFFF"/>
        </w:rPr>
        <w:t>C.M. Monti,</w:t>
      </w:r>
      <w:r w:rsidRPr="007C5606">
        <w:rPr>
          <w:rFonts w:ascii="Times" w:hAnsi="Times"/>
          <w:i/>
          <w:iCs/>
          <w:sz w:val="18"/>
          <w:szCs w:val="18"/>
          <w:shd w:val="clear" w:color="auto" w:fill="FEFFFF"/>
        </w:rPr>
        <w:t xml:space="preserve"> Boccaccio e Petrarca,</w:t>
      </w:r>
      <w:r w:rsidRPr="007C5606">
        <w:rPr>
          <w:rFonts w:ascii="Times" w:hAnsi="Times"/>
          <w:sz w:val="18"/>
          <w:szCs w:val="18"/>
          <w:shd w:val="clear" w:color="auto" w:fill="FEFFFF"/>
        </w:rPr>
        <w:t xml:space="preserve"> in</w:t>
      </w:r>
      <w:r w:rsidRPr="007C5606">
        <w:rPr>
          <w:rFonts w:ascii="Times" w:hAnsi="Times"/>
          <w:i/>
          <w:iCs/>
          <w:sz w:val="18"/>
          <w:szCs w:val="18"/>
          <w:shd w:val="clear" w:color="auto" w:fill="FEFFFF"/>
        </w:rPr>
        <w:t xml:space="preserve"> Boccaccio autore e copista</w:t>
      </w:r>
      <w:r w:rsidRPr="007C5606">
        <w:rPr>
          <w:rFonts w:ascii="Times" w:hAnsi="Times"/>
          <w:sz w:val="18"/>
          <w:szCs w:val="18"/>
          <w:shd w:val="clear" w:color="auto" w:fill="FEFFFF"/>
        </w:rPr>
        <w:t>, edited by T. De Robertis - C.M. Monti - M. Petoletti - G. Tanturli - S. Zamponi, Mandragora, Florence 2013, pp. 33-40.</w:t>
      </w:r>
    </w:p>
    <w:p w14:paraId="5809710E" w14:textId="77777777" w:rsidR="003210BF" w:rsidRPr="007C5606" w:rsidRDefault="00EA3683" w:rsidP="00ED686D">
      <w:pPr>
        <w:ind w:left="284" w:hanging="284"/>
        <w:jc w:val="both"/>
        <w:rPr>
          <w:rFonts w:ascii="Times" w:eastAsia="Times New Roman" w:hAnsi="Times"/>
          <w:spacing w:val="-5"/>
          <w:sz w:val="18"/>
          <w:szCs w:val="18"/>
          <w:bdr w:val="none" w:sz="0" w:space="0" w:color="auto"/>
        </w:rPr>
      </w:pPr>
      <w:r w:rsidRPr="007C5606">
        <w:rPr>
          <w:smallCaps/>
          <w:sz w:val="16"/>
          <w:szCs w:val="16"/>
          <w:shd w:val="clear" w:color="auto" w:fill="FEFFFF"/>
        </w:rPr>
        <w:t>G. Cappelli</w:t>
      </w:r>
      <w:r w:rsidRPr="007C5606">
        <w:rPr>
          <w:smallCaps/>
          <w:shd w:val="clear" w:color="auto" w:fill="FEFFFF"/>
        </w:rPr>
        <w:t>,</w:t>
      </w:r>
      <w:r w:rsidRPr="007C5606">
        <w:rPr>
          <w:i/>
          <w:iCs/>
          <w:shd w:val="clear" w:color="auto" w:fill="FEFFFF"/>
        </w:rPr>
        <w:t xml:space="preserve"> </w:t>
      </w:r>
      <w:r w:rsidRPr="007C5606">
        <w:rPr>
          <w:i/>
          <w:iCs/>
          <w:sz w:val="18"/>
          <w:szCs w:val="18"/>
          <w:shd w:val="clear" w:color="auto" w:fill="FEFFFF"/>
        </w:rPr>
        <w:t>L’Umanesimo italiano da Petrarca a Valla</w:t>
      </w:r>
      <w:r w:rsidRPr="007C5606">
        <w:rPr>
          <w:sz w:val="18"/>
          <w:szCs w:val="18"/>
          <w:shd w:val="clear" w:color="auto" w:fill="FEFFFF"/>
        </w:rPr>
        <w:t xml:space="preserve">, Carocci, Rome, </w:t>
      </w:r>
      <w:r w:rsidRPr="007C5606">
        <w:rPr>
          <w:rFonts w:ascii="Times" w:hAnsi="Times"/>
          <w:sz w:val="18"/>
          <w:szCs w:val="18"/>
          <w:bdr w:val="none" w:sz="0" w:space="0" w:color="auto"/>
        </w:rPr>
        <w:t xml:space="preserve">2018 (“Aulamagna” series). Questioning will focus particularly on the figures of F. Petrarch, C. Salutati, L. Bruni, P. Bracciolini, Biondo Flavio, L.B. Alberti, L. Valla and on chapters: III </w:t>
      </w:r>
      <w:r w:rsidRPr="007C5606">
        <w:rPr>
          <w:rFonts w:ascii="Times" w:hAnsi="Times"/>
          <w:i/>
          <w:iCs/>
          <w:sz w:val="18"/>
          <w:szCs w:val="18"/>
          <w:bdr w:val="none" w:sz="0" w:space="0" w:color="auto"/>
        </w:rPr>
        <w:t>L’introduzione dello studio del greco</w:t>
      </w:r>
      <w:r w:rsidRPr="007C5606">
        <w:rPr>
          <w:rFonts w:ascii="Times" w:hAnsi="Times"/>
          <w:sz w:val="18"/>
          <w:szCs w:val="18"/>
          <w:bdr w:val="none" w:sz="0" w:space="0" w:color="auto"/>
        </w:rPr>
        <w:t xml:space="preserve"> and IV </w:t>
      </w:r>
      <w:r w:rsidRPr="007C5606">
        <w:rPr>
          <w:rFonts w:ascii="Times" w:hAnsi="Times"/>
          <w:i/>
          <w:iCs/>
          <w:sz w:val="18"/>
          <w:szCs w:val="18"/>
          <w:bdr w:val="none" w:sz="0" w:space="0" w:color="auto"/>
        </w:rPr>
        <w:t>La nuova educazione</w:t>
      </w:r>
      <w:r w:rsidRPr="007C5606">
        <w:rPr>
          <w:rFonts w:ascii="Times" w:hAnsi="Times"/>
          <w:sz w:val="18"/>
          <w:szCs w:val="18"/>
          <w:bdr w:val="none" w:sz="0" w:space="0" w:color="auto"/>
        </w:rPr>
        <w:t>.</w:t>
      </w:r>
    </w:p>
    <w:p w14:paraId="7D430FCE" w14:textId="77777777" w:rsidR="00F0795C" w:rsidRPr="007C5606" w:rsidRDefault="00EA3683">
      <w:pPr>
        <w:pStyle w:val="CorpoA"/>
        <w:tabs>
          <w:tab w:val="clear" w:pos="284"/>
        </w:tabs>
        <w:spacing w:line="240" w:lineRule="atLeast"/>
        <w:ind w:left="284" w:hanging="284"/>
        <w:rPr>
          <w:rFonts w:ascii="Times" w:eastAsia="Times" w:hAnsi="Times" w:cs="Times"/>
          <w:spacing w:val="-5"/>
          <w:sz w:val="18"/>
          <w:szCs w:val="18"/>
          <w:shd w:val="clear" w:color="auto" w:fill="FEFFFF"/>
        </w:rPr>
      </w:pPr>
      <w:r w:rsidRPr="007C5606">
        <w:rPr>
          <w:rFonts w:ascii="Times" w:hAnsi="Times"/>
          <w:smallCaps/>
          <w:sz w:val="16"/>
          <w:szCs w:val="16"/>
          <w:shd w:val="clear" w:color="auto" w:fill="FEFFFF"/>
        </w:rPr>
        <w:t>L.D. Reynolds - N.G.Wilson,</w:t>
      </w:r>
      <w:r w:rsidRPr="007C5606">
        <w:rPr>
          <w:rFonts w:ascii="Times" w:hAnsi="Times"/>
          <w:i/>
          <w:iCs/>
          <w:sz w:val="18"/>
          <w:szCs w:val="18"/>
          <w:shd w:val="clear" w:color="auto" w:fill="FEFFFF"/>
        </w:rPr>
        <w:t xml:space="preserve"> Copisti e filologi,</w:t>
      </w:r>
      <w:r w:rsidRPr="007C5606">
        <w:rPr>
          <w:rFonts w:ascii="Times" w:hAnsi="Times"/>
          <w:sz w:val="18"/>
          <w:szCs w:val="18"/>
          <w:shd w:val="clear" w:color="auto" w:fill="FEFFFF"/>
        </w:rPr>
        <w:t xml:space="preserve"> Antenore, Rome-Padua 2016 (Revised and extended 4th edition): chap. IV, Il Rinascimento, pp. 115-54.</w:t>
      </w:r>
    </w:p>
    <w:p w14:paraId="10C25D5B" w14:textId="70609831" w:rsidR="00F0795C" w:rsidRPr="007C5606" w:rsidRDefault="00EA3683">
      <w:pPr>
        <w:pStyle w:val="CorpoA"/>
        <w:tabs>
          <w:tab w:val="clear" w:pos="284"/>
        </w:tabs>
        <w:spacing w:line="240" w:lineRule="atLeast"/>
        <w:ind w:left="284" w:hanging="284"/>
        <w:rPr>
          <w:sz w:val="18"/>
          <w:szCs w:val="18"/>
        </w:rPr>
      </w:pPr>
      <w:r w:rsidRPr="007C5606">
        <w:rPr>
          <w:rFonts w:ascii="Times" w:hAnsi="Times"/>
          <w:smallCaps/>
          <w:sz w:val="16"/>
          <w:szCs w:val="16"/>
          <w:shd w:val="clear" w:color="auto" w:fill="FEFFFF"/>
        </w:rPr>
        <w:t>M. Berté-M. Petoletti,</w:t>
      </w:r>
      <w:r w:rsidRPr="007C5606">
        <w:rPr>
          <w:rFonts w:ascii="Times" w:hAnsi="Times"/>
          <w:i/>
          <w:iCs/>
          <w:sz w:val="18"/>
          <w:szCs w:val="18"/>
          <w:shd w:val="clear" w:color="auto" w:fill="FEFFFF"/>
        </w:rPr>
        <w:t xml:space="preserve"> La filologia medievale e umanistica,</w:t>
      </w:r>
      <w:r w:rsidRPr="007C5606">
        <w:rPr>
          <w:rFonts w:ascii="Times" w:hAnsi="Times"/>
          <w:sz w:val="18"/>
          <w:szCs w:val="18"/>
          <w:shd w:val="clear" w:color="auto" w:fill="FEFFFF"/>
        </w:rPr>
        <w:t xml:space="preserve"> Il Mulino, Bologna, 2017 (sections specifically dedicated to humanistic philology,</w:t>
      </w:r>
      <w:r w:rsidRPr="007C5606">
        <w:t xml:space="preserve"> </w:t>
      </w:r>
      <w:r w:rsidRPr="007C5606">
        <w:rPr>
          <w:sz w:val="18"/>
          <w:szCs w:val="18"/>
        </w:rPr>
        <w:t>and the Texts: 7-10 and 12).</w:t>
      </w:r>
    </w:p>
    <w:p w14:paraId="44BB7614" w14:textId="1439C99E" w:rsidR="008D37FD" w:rsidRPr="007C5606" w:rsidRDefault="008D37FD" w:rsidP="008D37FD">
      <w:pPr>
        <w:pStyle w:val="Testo1"/>
        <w:spacing w:line="240" w:lineRule="auto"/>
        <w:rPr>
          <w:spacing w:val="-5"/>
        </w:rPr>
      </w:pPr>
      <w:r w:rsidRPr="007C5606">
        <w:t>*</w:t>
      </w:r>
      <w:r w:rsidRPr="007C5606">
        <w:rPr>
          <w:sz w:val="16"/>
          <w:szCs w:val="16"/>
        </w:rPr>
        <w:t xml:space="preserve">The essays by </w:t>
      </w:r>
      <w:r w:rsidRPr="007C5606">
        <w:rPr>
          <w:smallCaps/>
          <w:sz w:val="16"/>
          <w:szCs w:val="16"/>
        </w:rPr>
        <w:t>Billanovich</w:t>
      </w:r>
      <w:r w:rsidRPr="007C5606">
        <w:rPr>
          <w:sz w:val="16"/>
          <w:szCs w:val="16"/>
        </w:rPr>
        <w:t xml:space="preserve">, </w:t>
      </w:r>
      <w:r w:rsidRPr="007C5606">
        <w:rPr>
          <w:smallCaps/>
          <w:sz w:val="16"/>
          <w:szCs w:val="16"/>
        </w:rPr>
        <w:t>Battaglia Ricci</w:t>
      </w:r>
      <w:r w:rsidRPr="007C5606">
        <w:rPr>
          <w:sz w:val="16"/>
          <w:szCs w:val="16"/>
        </w:rPr>
        <w:t xml:space="preserve">, </w:t>
      </w:r>
      <w:r w:rsidRPr="007C5606">
        <w:rPr>
          <w:smallCaps/>
          <w:sz w:val="16"/>
          <w:szCs w:val="16"/>
        </w:rPr>
        <w:t>Monti</w:t>
      </w:r>
      <w:r w:rsidRPr="007C5606">
        <w:rPr>
          <w:sz w:val="16"/>
          <w:szCs w:val="16"/>
        </w:rPr>
        <w:t xml:space="preserve"> and </w:t>
      </w:r>
      <w:r w:rsidRPr="007C5606">
        <w:rPr>
          <w:smallCaps/>
          <w:sz w:val="16"/>
          <w:szCs w:val="16"/>
        </w:rPr>
        <w:t xml:space="preserve">Reynolds </w:t>
      </w:r>
      <w:r w:rsidRPr="007C5606">
        <w:rPr>
          <w:sz w:val="16"/>
          <w:szCs w:val="16"/>
        </w:rPr>
        <w:t>will also be made available as handouts</w:t>
      </w:r>
      <w:r w:rsidRPr="007C5606">
        <w:t>.</w:t>
      </w:r>
    </w:p>
    <w:p w14:paraId="0B8427EE" w14:textId="77777777" w:rsidR="00F0795C" w:rsidRPr="007C5606" w:rsidRDefault="00EA3683">
      <w:pPr>
        <w:pStyle w:val="Testo1"/>
        <w:rPr>
          <w:sz w:val="20"/>
          <w:szCs w:val="20"/>
          <w:shd w:val="clear" w:color="auto" w:fill="FEFFFF"/>
        </w:rPr>
      </w:pPr>
      <w:r w:rsidRPr="007C5606">
        <w:rPr>
          <w:shd w:val="clear" w:color="auto" w:fill="FEFFFF"/>
        </w:rPr>
        <w:t>For Module A</w:t>
      </w:r>
    </w:p>
    <w:p w14:paraId="44266D65" w14:textId="77777777" w:rsidR="00F1515A" w:rsidRPr="007C5606" w:rsidRDefault="00F1515A" w:rsidP="00F1515A">
      <w:pPr>
        <w:pStyle w:val="Testo1"/>
        <w:spacing w:before="0"/>
      </w:pPr>
      <w:r w:rsidRPr="007C5606">
        <w:rPr>
          <w:smallCaps/>
          <w:sz w:val="16"/>
          <w:szCs w:val="16"/>
        </w:rPr>
        <w:t>Francesco Petrarca</w:t>
      </w:r>
      <w:r w:rsidRPr="007C5606">
        <w:t xml:space="preserve">, </w:t>
      </w:r>
      <w:r w:rsidRPr="007C5606">
        <w:rPr>
          <w:i/>
        </w:rPr>
        <w:t>Psalmi penitentiales. Orationes</w:t>
      </w:r>
      <w:r w:rsidRPr="007C5606">
        <w:t>, a cura di D. Coppini, Firenze, Le Lettere, 2010.</w:t>
      </w:r>
    </w:p>
    <w:p w14:paraId="113F880C" w14:textId="77777777" w:rsidR="00F1515A" w:rsidRPr="007C5606" w:rsidRDefault="00F1515A" w:rsidP="00F1515A">
      <w:pPr>
        <w:pStyle w:val="Testo1"/>
        <w:spacing w:before="0"/>
        <w:rPr>
          <w:i/>
        </w:rPr>
      </w:pPr>
      <w:r w:rsidRPr="007C5606">
        <w:rPr>
          <w:smallCaps/>
          <w:color w:val="231F20"/>
          <w:sz w:val="16"/>
          <w:szCs w:val="16"/>
        </w:rPr>
        <w:t>C.M. Monti,</w:t>
      </w:r>
      <w:r w:rsidRPr="007C5606">
        <w:rPr>
          <w:i/>
          <w:color w:val="231F20"/>
          <w:sz w:val="16"/>
          <w:szCs w:val="16"/>
        </w:rPr>
        <w:t xml:space="preserve"> </w:t>
      </w:r>
      <w:r w:rsidRPr="007C5606">
        <w:rPr>
          <w:i/>
          <w:color w:val="231F20"/>
        </w:rPr>
        <w:t>Petrarca e la preghiera</w:t>
      </w:r>
      <w:r w:rsidRPr="007C5606">
        <w:t xml:space="preserve">, in </w:t>
      </w:r>
      <w:r w:rsidRPr="007C5606">
        <w:rPr>
          <w:i/>
        </w:rPr>
        <w:t>La preghiera nella Letteratura italiana</w:t>
      </w:r>
      <w:r w:rsidRPr="007C5606">
        <w:t>, diretto da M. Ballarini</w:t>
      </w:r>
      <w:r w:rsidRPr="007C5606">
        <w:rPr>
          <w:smallCaps/>
        </w:rPr>
        <w:t xml:space="preserve">, </w:t>
      </w:r>
      <w:r w:rsidRPr="007C5606">
        <w:t xml:space="preserve">a cura di </w:t>
      </w:r>
      <w:r w:rsidRPr="007C5606">
        <w:rPr>
          <w:smallCaps/>
        </w:rPr>
        <w:t xml:space="preserve">S. </w:t>
      </w:r>
      <w:r w:rsidRPr="007C5606">
        <w:t>Brambilla</w:t>
      </w:r>
      <w:r w:rsidRPr="007C5606">
        <w:rPr>
          <w:smallCaps/>
        </w:rPr>
        <w:t xml:space="preserve">-P. </w:t>
      </w:r>
      <w:r w:rsidRPr="007C5606">
        <w:t>Frare</w:t>
      </w:r>
      <w:r w:rsidRPr="007C5606">
        <w:rPr>
          <w:smallCaps/>
        </w:rPr>
        <w:t xml:space="preserve">-G. </w:t>
      </w:r>
      <w:r w:rsidRPr="007C5606">
        <w:t>Langella, Milano,</w:t>
      </w:r>
      <w:r w:rsidRPr="007C5606">
        <w:rPr>
          <w:smallCaps/>
        </w:rPr>
        <w:t xml:space="preserve"> ITL, 2023</w:t>
      </w:r>
      <w:r w:rsidRPr="007C5606">
        <w:t>, i.c.s.</w:t>
      </w:r>
    </w:p>
    <w:p w14:paraId="4D52EB5B" w14:textId="77777777" w:rsidR="00F1515A" w:rsidRPr="007C5606" w:rsidRDefault="00F1515A" w:rsidP="00F1515A">
      <w:pPr>
        <w:pStyle w:val="Testo1"/>
        <w:spacing w:before="0"/>
      </w:pPr>
      <w:r w:rsidRPr="007C5606">
        <w:rPr>
          <w:smallCaps/>
          <w:sz w:val="16"/>
          <w:szCs w:val="16"/>
        </w:rPr>
        <w:t>V. Fera</w:t>
      </w:r>
      <w:r w:rsidRPr="007C5606">
        <w:t xml:space="preserve">, </w:t>
      </w:r>
      <w:r w:rsidRPr="007C5606">
        <w:rPr>
          <w:i/>
        </w:rPr>
        <w:t>Petrarca e la poetica dell’‘incultum’</w:t>
      </w:r>
      <w:r w:rsidRPr="007C5606">
        <w:t xml:space="preserve">, «Studi medievali e umanistici», 10 (2012), pp. 9-87. </w:t>
      </w:r>
    </w:p>
    <w:p w14:paraId="011BE857" w14:textId="77777777" w:rsidR="00F1515A" w:rsidRPr="007C5606" w:rsidRDefault="00F1515A" w:rsidP="00F1515A">
      <w:pPr>
        <w:pStyle w:val="Testo1"/>
        <w:spacing w:before="0"/>
      </w:pPr>
      <w:r w:rsidRPr="007C5606">
        <w:rPr>
          <w:smallCaps/>
          <w:color w:val="231F20"/>
          <w:sz w:val="16"/>
          <w:szCs w:val="16"/>
        </w:rPr>
        <w:lastRenderedPageBreak/>
        <w:t>C.M. Monti</w:t>
      </w:r>
      <w:r w:rsidRPr="007C5606">
        <w:t xml:space="preserve">, </w:t>
      </w:r>
      <w:r w:rsidRPr="007C5606">
        <w:rPr>
          <w:i/>
          <w:iCs/>
        </w:rPr>
        <w:t>Le epistole milanesi del Petrarca al priore della Certosa Jean Birel</w:t>
      </w:r>
      <w:r w:rsidRPr="007C5606">
        <w:t xml:space="preserve">, in </w:t>
      </w:r>
      <w:r w:rsidRPr="007C5606">
        <w:rPr>
          <w:i/>
          <w:iCs/>
        </w:rPr>
        <w:t>Petrarca e la Lombardia</w:t>
      </w:r>
      <w:r w:rsidRPr="007C5606">
        <w:t xml:space="preserve">, a cura di </w:t>
      </w:r>
      <w:r w:rsidRPr="007C5606">
        <w:rPr>
          <w:smallCaps/>
        </w:rPr>
        <w:t>G.</w:t>
      </w:r>
      <w:r w:rsidRPr="007C5606">
        <w:t xml:space="preserve"> Frasso-</w:t>
      </w:r>
      <w:r w:rsidRPr="007C5606">
        <w:rPr>
          <w:smallCaps/>
        </w:rPr>
        <w:t>G.</w:t>
      </w:r>
      <w:r w:rsidRPr="007C5606">
        <w:t xml:space="preserve"> Velli</w:t>
      </w:r>
      <w:r w:rsidRPr="007C5606">
        <w:rPr>
          <w:smallCaps/>
        </w:rPr>
        <w:t>-M.</w:t>
      </w:r>
      <w:r w:rsidRPr="007C5606">
        <w:t xml:space="preserve"> Vitale, Roma-Padova, Antenore, 2005, pp. 265-295.</w:t>
      </w:r>
    </w:p>
    <w:p w14:paraId="26AD02C3" w14:textId="77777777" w:rsidR="00F1515A" w:rsidRPr="007C5606" w:rsidRDefault="00F1515A" w:rsidP="00F1515A">
      <w:pPr>
        <w:pStyle w:val="Testo1"/>
        <w:spacing w:before="0"/>
      </w:pPr>
      <w:r w:rsidRPr="007C5606">
        <w:rPr>
          <w:rFonts w:ascii="Times New Roman" w:hAnsi="Times New Roman"/>
          <w:smallCaps/>
          <w:color w:val="231F20"/>
          <w:sz w:val="16"/>
          <w:szCs w:val="16"/>
        </w:rPr>
        <w:t>C.M.</w:t>
      </w:r>
      <w:r w:rsidRPr="007C5606">
        <w:rPr>
          <w:rFonts w:ascii="Times New Roman" w:hAnsi="Times New Roman"/>
          <w:color w:val="231F20"/>
          <w:sz w:val="16"/>
          <w:szCs w:val="16"/>
        </w:rPr>
        <w:t xml:space="preserve"> </w:t>
      </w:r>
      <w:r w:rsidRPr="007C5606">
        <w:rPr>
          <w:rFonts w:ascii="Times New Roman" w:hAnsi="Times New Roman"/>
          <w:smallCaps/>
          <w:color w:val="231F20"/>
          <w:sz w:val="16"/>
          <w:szCs w:val="16"/>
        </w:rPr>
        <w:t>Monti</w:t>
      </w:r>
      <w:r w:rsidRPr="007C5606">
        <w:rPr>
          <w:rFonts w:ascii="Times New Roman" w:hAnsi="Times New Roman"/>
          <w:sz w:val="16"/>
          <w:szCs w:val="16"/>
        </w:rPr>
        <w:t xml:space="preserve">, </w:t>
      </w:r>
      <w:r w:rsidRPr="007C5606">
        <w:rPr>
          <w:rFonts w:ascii="Times New Roman" w:hAnsi="Times New Roman"/>
          <w:i/>
        </w:rPr>
        <w:t>Petrarca maestro di spiritualità. La Senile X 1 per la monacazione di Sagremor de Pommiers</w:t>
      </w:r>
      <w:r w:rsidRPr="007C5606">
        <w:rPr>
          <w:rFonts w:ascii="Times New Roman" w:hAnsi="Times New Roman"/>
        </w:rPr>
        <w:t xml:space="preserve">, in </w:t>
      </w:r>
      <w:r w:rsidRPr="007C5606">
        <w:rPr>
          <w:rFonts w:ascii="Times New Roman" w:hAnsi="Times New Roman"/>
          <w:i/>
        </w:rPr>
        <w:t>Nel cantiere degli umanisti. Per Mariangela Regoliosi</w:t>
      </w:r>
      <w:r w:rsidRPr="007C5606">
        <w:rPr>
          <w:rFonts w:ascii="Times New Roman" w:hAnsi="Times New Roman"/>
        </w:rPr>
        <w:t xml:space="preserve">, a cura di </w:t>
      </w:r>
      <w:r w:rsidRPr="007C5606">
        <w:rPr>
          <w:rFonts w:ascii="Times New Roman" w:hAnsi="Times New Roman"/>
          <w:smallCaps/>
        </w:rPr>
        <w:t>L.</w:t>
      </w:r>
      <w:r w:rsidRPr="007C5606">
        <w:rPr>
          <w:rFonts w:ascii="Times New Roman" w:hAnsi="Times New Roman"/>
        </w:rPr>
        <w:t xml:space="preserve"> Bertolini-</w:t>
      </w:r>
      <w:r w:rsidRPr="007C5606">
        <w:rPr>
          <w:rFonts w:ascii="Times New Roman" w:hAnsi="Times New Roman"/>
          <w:smallCaps/>
        </w:rPr>
        <w:t>D.</w:t>
      </w:r>
      <w:r w:rsidRPr="007C5606">
        <w:rPr>
          <w:rFonts w:ascii="Times New Roman" w:hAnsi="Times New Roman"/>
        </w:rPr>
        <w:t xml:space="preserve"> Coppini-</w:t>
      </w:r>
      <w:r w:rsidRPr="007C5606">
        <w:rPr>
          <w:rFonts w:ascii="Times New Roman" w:hAnsi="Times New Roman"/>
          <w:smallCaps/>
        </w:rPr>
        <w:t>C.</w:t>
      </w:r>
      <w:r w:rsidRPr="007C5606">
        <w:rPr>
          <w:rFonts w:ascii="Times New Roman" w:hAnsi="Times New Roman"/>
        </w:rPr>
        <w:t xml:space="preserve"> Marsico, Firenze, Edizioni Polistampa, 2014, , pp. 925-951.</w:t>
      </w:r>
    </w:p>
    <w:p w14:paraId="564FAC4F" w14:textId="77777777" w:rsidR="00F1515A" w:rsidRPr="007C5606" w:rsidRDefault="00F1515A" w:rsidP="00F1515A">
      <w:pPr>
        <w:pStyle w:val="Testo1"/>
        <w:spacing w:before="0"/>
      </w:pPr>
      <w:r w:rsidRPr="007C5606">
        <w:rPr>
          <w:smallCaps/>
          <w:color w:val="231F20"/>
          <w:sz w:val="16"/>
          <w:szCs w:val="16"/>
        </w:rPr>
        <w:t>G.</w:t>
      </w:r>
      <w:r w:rsidRPr="007C5606">
        <w:rPr>
          <w:color w:val="231F20"/>
          <w:sz w:val="16"/>
          <w:szCs w:val="16"/>
        </w:rPr>
        <w:t xml:space="preserve"> </w:t>
      </w:r>
      <w:r w:rsidRPr="007C5606">
        <w:rPr>
          <w:smallCaps/>
          <w:color w:val="231F20"/>
          <w:sz w:val="16"/>
          <w:szCs w:val="16"/>
        </w:rPr>
        <w:t>Pozzi</w:t>
      </w:r>
      <w:r w:rsidRPr="007C5606">
        <w:rPr>
          <w:color w:val="231F20"/>
        </w:rPr>
        <w:t xml:space="preserve">, </w:t>
      </w:r>
      <w:r w:rsidRPr="007C5606">
        <w:rPr>
          <w:i/>
          <w:color w:val="231F20"/>
        </w:rPr>
        <w:t>Petrarca, i Padri e soprattutto la Bibbia</w:t>
      </w:r>
      <w:r w:rsidRPr="007C5606">
        <w:rPr>
          <w:color w:val="231F20"/>
        </w:rPr>
        <w:t>, «Studi petrarcheschi», n.s., VI (1989), pp. 125-169.</w:t>
      </w:r>
    </w:p>
    <w:p w14:paraId="49924441" w14:textId="77777777" w:rsidR="00F1515A" w:rsidRPr="007C5606" w:rsidRDefault="00F1515A" w:rsidP="00F1515A">
      <w:pPr>
        <w:pStyle w:val="Testo1"/>
        <w:spacing w:before="0"/>
      </w:pPr>
      <w:r w:rsidRPr="007C5606">
        <w:rPr>
          <w:smallCaps/>
          <w:color w:val="231F20"/>
          <w:sz w:val="16"/>
          <w:szCs w:val="16"/>
        </w:rPr>
        <w:t>M.</w:t>
      </w:r>
      <w:r w:rsidRPr="007C5606">
        <w:rPr>
          <w:color w:val="231F20"/>
          <w:sz w:val="16"/>
          <w:szCs w:val="16"/>
        </w:rPr>
        <w:t xml:space="preserve"> </w:t>
      </w:r>
      <w:r w:rsidRPr="007C5606">
        <w:rPr>
          <w:smallCaps/>
          <w:color w:val="231F20"/>
          <w:sz w:val="16"/>
          <w:szCs w:val="16"/>
        </w:rPr>
        <w:t>Baglio</w:t>
      </w:r>
      <w:r w:rsidRPr="007C5606">
        <w:rPr>
          <w:color w:val="231F20"/>
        </w:rPr>
        <w:t xml:space="preserve">, </w:t>
      </w:r>
      <w:r w:rsidRPr="007C5606">
        <w:rPr>
          <w:i/>
          <w:color w:val="231F20"/>
        </w:rPr>
        <w:t>«Attende et ad Cristum refer». Bibbia e auctores sui codici classici di Petrarca</w:t>
      </w:r>
      <w:r w:rsidRPr="007C5606">
        <w:rPr>
          <w:color w:val="231F20"/>
        </w:rPr>
        <w:t xml:space="preserve">, in, </w:t>
      </w:r>
      <w:r w:rsidRPr="007C5606">
        <w:rPr>
          <w:i/>
          <w:color w:val="231F20"/>
        </w:rPr>
        <w:t>L’antiche e le moderne carte. Studi in memoria di Giuseppe Billanovich</w:t>
      </w:r>
      <w:r w:rsidRPr="007C5606">
        <w:rPr>
          <w:color w:val="231F20"/>
        </w:rPr>
        <w:t xml:space="preserve">, a cura di </w:t>
      </w:r>
      <w:r w:rsidRPr="007C5606">
        <w:rPr>
          <w:smallCaps/>
          <w:color w:val="231F20"/>
        </w:rPr>
        <w:t>A.</w:t>
      </w:r>
      <w:r w:rsidRPr="007C5606">
        <w:rPr>
          <w:color w:val="231F20"/>
        </w:rPr>
        <w:t xml:space="preserve"> Manfredi – </w:t>
      </w:r>
      <w:r w:rsidRPr="007C5606">
        <w:rPr>
          <w:smallCaps/>
          <w:color w:val="231F20"/>
        </w:rPr>
        <w:t>C.M.</w:t>
      </w:r>
      <w:r w:rsidRPr="007C5606">
        <w:rPr>
          <w:color w:val="231F20"/>
        </w:rPr>
        <w:t xml:space="preserve"> Monti, Roma-Padova, Antenore, 2007, pp. 41-86</w:t>
      </w:r>
      <w:r w:rsidRPr="007C5606">
        <w:t>.</w:t>
      </w:r>
    </w:p>
    <w:p w14:paraId="0B5142D7" w14:textId="77777777" w:rsidR="00F1515A" w:rsidRPr="007C5606" w:rsidRDefault="00F1515A" w:rsidP="00F1515A">
      <w:pPr>
        <w:pStyle w:val="Testo1"/>
        <w:spacing w:before="0"/>
        <w:rPr>
          <w:rFonts w:ascii="Times New Roman" w:hAnsi="Times New Roman"/>
        </w:rPr>
      </w:pPr>
      <w:r w:rsidRPr="007C5606">
        <w:rPr>
          <w:rFonts w:ascii="Times New Roman" w:hAnsi="Times New Roman"/>
          <w:smallCaps/>
          <w:sz w:val="16"/>
          <w:szCs w:val="16"/>
        </w:rPr>
        <w:t>E.</w:t>
      </w:r>
      <w:r w:rsidRPr="007C5606">
        <w:rPr>
          <w:rFonts w:ascii="Times New Roman" w:hAnsi="Times New Roman"/>
          <w:sz w:val="16"/>
          <w:szCs w:val="16"/>
        </w:rPr>
        <w:t xml:space="preserve"> </w:t>
      </w:r>
      <w:r w:rsidRPr="007C5606">
        <w:rPr>
          <w:rFonts w:ascii="Times New Roman" w:hAnsi="Times New Roman"/>
          <w:smallCaps/>
          <w:sz w:val="16"/>
          <w:szCs w:val="16"/>
        </w:rPr>
        <w:t>Fumagalli</w:t>
      </w:r>
      <w:r w:rsidRPr="007C5606">
        <w:rPr>
          <w:rFonts w:ascii="Times New Roman" w:hAnsi="Times New Roman"/>
        </w:rPr>
        <w:t xml:space="preserve">, </w:t>
      </w:r>
      <w:r w:rsidRPr="007C5606">
        <w:rPr>
          <w:rFonts w:ascii="Times New Roman" w:hAnsi="Times New Roman"/>
          <w:i/>
        </w:rPr>
        <w:t>Petrarca e la Bibbia</w:t>
      </w:r>
      <w:r w:rsidRPr="007C5606">
        <w:rPr>
          <w:rFonts w:ascii="Times New Roman" w:hAnsi="Times New Roman"/>
        </w:rPr>
        <w:t xml:space="preserve">, in </w:t>
      </w:r>
      <w:r w:rsidRPr="007C5606">
        <w:rPr>
          <w:rFonts w:ascii="Times New Roman" w:hAnsi="Times New Roman"/>
          <w:i/>
        </w:rPr>
        <w:t>La Bibbia nella letteratura italiana</w:t>
      </w:r>
      <w:r w:rsidRPr="007C5606">
        <w:rPr>
          <w:rFonts w:ascii="Times New Roman" w:hAnsi="Times New Roman"/>
        </w:rPr>
        <w:t xml:space="preserve">. V. </w:t>
      </w:r>
      <w:r w:rsidRPr="007C5606">
        <w:rPr>
          <w:rFonts w:ascii="Times New Roman" w:hAnsi="Times New Roman"/>
          <w:i/>
        </w:rPr>
        <w:t>Dal Medioevo al Rinascimento</w:t>
      </w:r>
      <w:r w:rsidRPr="007C5606">
        <w:rPr>
          <w:rFonts w:ascii="Times New Roman" w:hAnsi="Times New Roman"/>
        </w:rPr>
        <w:t>, Brescia, Morcelliana, 2013, pp. 271-304.</w:t>
      </w:r>
    </w:p>
    <w:p w14:paraId="58F8F29E" w14:textId="77777777" w:rsidR="008D37FD" w:rsidRPr="007C5606" w:rsidRDefault="008D37FD" w:rsidP="008D37FD">
      <w:p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eastAsia="Times New Roman"/>
          <w:smallCaps/>
          <w:noProof/>
          <w:spacing w:val="-5"/>
          <w:sz w:val="18"/>
          <w:szCs w:val="18"/>
          <w:bdr w:val="none" w:sz="0" w:space="0" w:color="auto"/>
        </w:rPr>
      </w:pPr>
      <w:r w:rsidRPr="007C5606">
        <w:rPr>
          <w:rFonts w:ascii="Times" w:hAnsi="Times"/>
          <w:sz w:val="18"/>
          <w:szCs w:val="18"/>
          <w:bdr w:val="none" w:sz="0" w:space="0" w:color="auto"/>
        </w:rPr>
        <w:t>*Most of the reading list will also be made available as handouts.</w:t>
      </w:r>
    </w:p>
    <w:p w14:paraId="616DF1B5" w14:textId="77777777" w:rsidR="00F0795C" w:rsidRPr="007C5606" w:rsidRDefault="00EA3683">
      <w:pPr>
        <w:pStyle w:val="CorpoA"/>
        <w:spacing w:before="240" w:after="120"/>
        <w:rPr>
          <w:b/>
          <w:bCs/>
          <w:i/>
          <w:iCs/>
          <w:sz w:val="18"/>
          <w:szCs w:val="18"/>
          <w:shd w:val="clear" w:color="auto" w:fill="FEFFFF"/>
        </w:rPr>
      </w:pPr>
      <w:r w:rsidRPr="007C5606">
        <w:rPr>
          <w:b/>
          <w:bCs/>
          <w:i/>
          <w:iCs/>
          <w:sz w:val="18"/>
          <w:szCs w:val="18"/>
          <w:shd w:val="clear" w:color="auto" w:fill="FEFFFF"/>
        </w:rPr>
        <w:t>TEACHING METHOD</w:t>
      </w:r>
    </w:p>
    <w:p w14:paraId="51DE85EB" w14:textId="77777777" w:rsidR="00F0795C" w:rsidRPr="007C5606" w:rsidRDefault="00EA3683">
      <w:pPr>
        <w:pStyle w:val="CorpoA"/>
        <w:tabs>
          <w:tab w:val="clear" w:pos="284"/>
        </w:tabs>
        <w:spacing w:before="120" w:line="240" w:lineRule="exact"/>
        <w:rPr>
          <w:smallCaps/>
          <w:sz w:val="16"/>
          <w:szCs w:val="16"/>
          <w:shd w:val="clear" w:color="auto" w:fill="FEFFFF"/>
        </w:rPr>
      </w:pPr>
      <w:r w:rsidRPr="007C5606">
        <w:rPr>
          <w:smallCaps/>
          <w:sz w:val="16"/>
          <w:szCs w:val="16"/>
          <w:shd w:val="clear" w:color="auto" w:fill="FEFFFF"/>
        </w:rPr>
        <w:t xml:space="preserve">Module 1 </w:t>
      </w:r>
    </w:p>
    <w:p w14:paraId="60C4680E" w14:textId="77777777" w:rsidR="00EA3683" w:rsidRPr="007C5606" w:rsidRDefault="00EA3683" w:rsidP="003210BF">
      <w:pPr>
        <w:pStyle w:val="CorpoA"/>
        <w:tabs>
          <w:tab w:val="clear" w:pos="284"/>
        </w:tabs>
        <w:spacing w:before="120"/>
        <w:ind w:firstLine="284"/>
        <w:rPr>
          <w:rFonts w:ascii="Times" w:eastAsia="Times" w:hAnsi="Times" w:cs="Times"/>
          <w:sz w:val="18"/>
          <w:szCs w:val="18"/>
          <w:shd w:val="clear" w:color="auto" w:fill="FEFFFF"/>
        </w:rPr>
      </w:pPr>
      <w:r w:rsidRPr="007C5606">
        <w:rPr>
          <w:rFonts w:ascii="Times" w:hAnsi="Times"/>
          <w:sz w:val="18"/>
          <w:szCs w:val="18"/>
          <w:shd w:val="clear" w:color="auto" w:fill="FEFFFF"/>
        </w:rPr>
        <w:t>Lectures and seminars for in-depth study.</w:t>
      </w:r>
    </w:p>
    <w:p w14:paraId="69D8B933" w14:textId="77777777" w:rsidR="00F0795C" w:rsidRPr="007C5606" w:rsidRDefault="00EA3683">
      <w:pPr>
        <w:pStyle w:val="CorpoA"/>
        <w:tabs>
          <w:tab w:val="clear" w:pos="284"/>
        </w:tabs>
        <w:spacing w:before="120" w:line="240" w:lineRule="exact"/>
        <w:rPr>
          <w:smallCaps/>
          <w:sz w:val="16"/>
          <w:szCs w:val="16"/>
          <w:shd w:val="clear" w:color="auto" w:fill="FEFFFF"/>
        </w:rPr>
      </w:pPr>
      <w:r w:rsidRPr="007C5606">
        <w:rPr>
          <w:smallCaps/>
          <w:sz w:val="16"/>
          <w:szCs w:val="16"/>
          <w:shd w:val="clear" w:color="auto" w:fill="FEFFFF"/>
        </w:rPr>
        <w:t>Module A</w:t>
      </w:r>
    </w:p>
    <w:p w14:paraId="3A45CABF" w14:textId="77777777" w:rsidR="00F0795C" w:rsidRPr="007C5606" w:rsidRDefault="00EA3683">
      <w:pPr>
        <w:pStyle w:val="CorpoA"/>
        <w:tabs>
          <w:tab w:val="clear" w:pos="284"/>
        </w:tabs>
        <w:spacing w:before="120"/>
        <w:ind w:firstLine="284"/>
        <w:rPr>
          <w:rFonts w:ascii="Times" w:eastAsia="Times" w:hAnsi="Times" w:cs="Times"/>
          <w:sz w:val="18"/>
          <w:szCs w:val="18"/>
          <w:shd w:val="clear" w:color="auto" w:fill="FEFFFF"/>
        </w:rPr>
      </w:pPr>
      <w:r w:rsidRPr="007C5606">
        <w:rPr>
          <w:rFonts w:ascii="Times" w:hAnsi="Times"/>
          <w:sz w:val="18"/>
          <w:szCs w:val="18"/>
          <w:shd w:val="clear" w:color="auto" w:fill="FEFFFF"/>
        </w:rPr>
        <w:t>Lectures, seminars for in-depth study and individual tasks.</w:t>
      </w:r>
    </w:p>
    <w:p w14:paraId="227FC679" w14:textId="77777777" w:rsidR="00C37004" w:rsidRPr="007C5606" w:rsidRDefault="00C37004" w:rsidP="00C37004">
      <w:pPr>
        <w:spacing w:before="240" w:after="120" w:line="220" w:lineRule="exact"/>
        <w:rPr>
          <w:b/>
          <w:i/>
          <w:sz w:val="18"/>
        </w:rPr>
      </w:pPr>
      <w:r w:rsidRPr="007C5606">
        <w:rPr>
          <w:b/>
          <w:i/>
          <w:sz w:val="18"/>
        </w:rPr>
        <w:t>ASSESSMENT METHOD AND CRITERIA</w:t>
      </w:r>
    </w:p>
    <w:p w14:paraId="1AEDD591" w14:textId="77777777" w:rsidR="00F0795C" w:rsidRPr="007C5606" w:rsidRDefault="00EA3683">
      <w:pPr>
        <w:pStyle w:val="CorpoA"/>
        <w:tabs>
          <w:tab w:val="clear" w:pos="284"/>
        </w:tabs>
        <w:spacing w:before="120" w:line="240" w:lineRule="exact"/>
        <w:rPr>
          <w:smallCaps/>
          <w:sz w:val="16"/>
          <w:szCs w:val="16"/>
          <w:shd w:val="clear" w:color="auto" w:fill="FEFFFF"/>
        </w:rPr>
      </w:pPr>
      <w:r w:rsidRPr="007C5606">
        <w:rPr>
          <w:smallCaps/>
          <w:sz w:val="16"/>
          <w:szCs w:val="16"/>
          <w:shd w:val="clear" w:color="auto" w:fill="FEFFFF"/>
        </w:rPr>
        <w:t>Module 1</w:t>
      </w:r>
    </w:p>
    <w:p w14:paraId="3126EBB3" w14:textId="77777777" w:rsidR="003210BF" w:rsidRPr="007C5606" w:rsidRDefault="003210BF" w:rsidP="003210BF">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firstLine="284"/>
        <w:jc w:val="both"/>
        <w:rPr>
          <w:rFonts w:ascii="Times" w:eastAsia="Times New Roman" w:hAnsi="Times"/>
          <w:sz w:val="18"/>
          <w:szCs w:val="20"/>
          <w:bdr w:val="none" w:sz="0" w:space="0" w:color="auto"/>
        </w:rPr>
      </w:pPr>
      <w:r w:rsidRPr="007C5606">
        <w:rPr>
          <w:rFonts w:ascii="Times" w:hAnsi="Times"/>
          <w:sz w:val="18"/>
          <w:szCs w:val="20"/>
          <w:bdr w:val="none" w:sz="0" w:space="0" w:color="auto"/>
        </w:rPr>
        <w:t>The exam will be entirely oral in format, and focus on assessing students’ knowledge of Italian humanism based on the reading list provided, lecture content and passages read in class.</w:t>
      </w:r>
    </w:p>
    <w:p w14:paraId="3D2D0B91" w14:textId="77777777" w:rsidR="00F0795C" w:rsidRPr="007C5606" w:rsidRDefault="00EA3683">
      <w:pPr>
        <w:pStyle w:val="CorpoA"/>
        <w:tabs>
          <w:tab w:val="clear" w:pos="284"/>
        </w:tabs>
        <w:spacing w:before="120" w:line="240" w:lineRule="exact"/>
        <w:rPr>
          <w:smallCaps/>
          <w:sz w:val="16"/>
          <w:szCs w:val="16"/>
          <w:shd w:val="clear" w:color="auto" w:fill="FEFFFF"/>
        </w:rPr>
      </w:pPr>
      <w:r w:rsidRPr="007C5606">
        <w:rPr>
          <w:smallCaps/>
          <w:sz w:val="16"/>
          <w:szCs w:val="16"/>
          <w:shd w:val="clear" w:color="auto" w:fill="FEFFFF"/>
        </w:rPr>
        <w:t>Module A</w:t>
      </w:r>
    </w:p>
    <w:p w14:paraId="042195D7" w14:textId="77777777" w:rsidR="00C37004" w:rsidRPr="007C5606" w:rsidRDefault="009C0EF4" w:rsidP="000C3314">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noProof/>
          <w:sz w:val="18"/>
          <w:szCs w:val="20"/>
          <w:bdr w:val="none" w:sz="0" w:space="0" w:color="auto"/>
        </w:rPr>
      </w:pPr>
      <w:r w:rsidRPr="007C5606">
        <w:rPr>
          <w:rFonts w:ascii="Times" w:hAnsi="Times"/>
          <w:sz w:val="18"/>
          <w:szCs w:val="20"/>
          <w:bdr w:val="none" w:sz="0" w:space="0" w:color="auto"/>
        </w:rPr>
        <w:t>The assessment is structured as follows: 1. A written assignment on a topic explained during the course, approved by the lecturer and to be completed before the oral assessment. 2. An oral assessment, in which students will be tested on their knowledge of the subject and use of the philological methodology, also through the translation and commentary of a text analysed during the course.</w:t>
      </w:r>
    </w:p>
    <w:p w14:paraId="177E1C9E" w14:textId="77777777" w:rsidR="00C37004" w:rsidRPr="007C5606" w:rsidRDefault="00C37004" w:rsidP="00C37004">
      <w:pPr>
        <w:spacing w:before="240" w:after="120"/>
        <w:rPr>
          <w:b/>
          <w:i/>
          <w:sz w:val="18"/>
        </w:rPr>
      </w:pPr>
      <w:r w:rsidRPr="007C5606">
        <w:rPr>
          <w:b/>
          <w:i/>
          <w:sz w:val="18"/>
        </w:rPr>
        <w:t>NOTES AND PREREQUISITES</w:t>
      </w:r>
    </w:p>
    <w:p w14:paraId="5C1CA620" w14:textId="77777777" w:rsidR="000C3314" w:rsidRPr="007C5606" w:rsidRDefault="000C3314" w:rsidP="00C37004">
      <w:pPr>
        <w:pStyle w:val="Testo2"/>
      </w:pPr>
      <w:r w:rsidRPr="007C5606">
        <w:t>Module 1: knowledge of Latin is not a prerequisite for this course, since all the texts analysed in class will be supported by their Italian translation.</w:t>
      </w:r>
    </w:p>
    <w:p w14:paraId="521DF377" w14:textId="77777777" w:rsidR="00C37004" w:rsidRPr="007C5606" w:rsidRDefault="000C3314" w:rsidP="00C37004">
      <w:pPr>
        <w:pStyle w:val="Testo2"/>
      </w:pPr>
      <w:r w:rsidRPr="007C5606">
        <w:t>Module A: knowledge of Latin is a prerequisite for this course.</w:t>
      </w:r>
    </w:p>
    <w:p w14:paraId="64E0904E" w14:textId="77777777" w:rsidR="00F0795C" w:rsidRDefault="00EA3683">
      <w:pPr>
        <w:pStyle w:val="Testo2"/>
      </w:pPr>
      <w:r w:rsidRPr="007C5606">
        <w:rPr>
          <w:shd w:val="clear" w:color="auto" w:fill="FEFFFF"/>
        </w:rPr>
        <w:t>Further information can be found on the lecturer's webpage at http://docenti.unicatt.it/web/searchByName.do?language=ENG or on the Faculty notice board.</w:t>
      </w:r>
    </w:p>
    <w:sectPr w:rsidR="00F0795C">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BA6D" w14:textId="77777777" w:rsidR="00DF640E" w:rsidRDefault="00DF640E">
      <w:r>
        <w:separator/>
      </w:r>
    </w:p>
  </w:endnote>
  <w:endnote w:type="continuationSeparator" w:id="0">
    <w:p w14:paraId="6997A7AB" w14:textId="77777777" w:rsidR="00DF640E" w:rsidRDefault="00DF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E727" w14:textId="77777777" w:rsidR="00F0795C" w:rsidRDefault="00F0795C">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35F5" w14:textId="77777777" w:rsidR="00DF640E" w:rsidRDefault="00DF640E">
      <w:r>
        <w:separator/>
      </w:r>
    </w:p>
  </w:footnote>
  <w:footnote w:type="continuationSeparator" w:id="0">
    <w:p w14:paraId="64B913D4" w14:textId="77777777" w:rsidR="00DF640E" w:rsidRDefault="00DF6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2F25" w14:textId="77777777" w:rsidR="00F0795C" w:rsidRDefault="00F0795C">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95C"/>
    <w:rsid w:val="000C3314"/>
    <w:rsid w:val="00103CC0"/>
    <w:rsid w:val="001227F9"/>
    <w:rsid w:val="001340DD"/>
    <w:rsid w:val="0027369B"/>
    <w:rsid w:val="00295395"/>
    <w:rsid w:val="002B4EA3"/>
    <w:rsid w:val="002D05F5"/>
    <w:rsid w:val="003210BF"/>
    <w:rsid w:val="00350A02"/>
    <w:rsid w:val="003A6368"/>
    <w:rsid w:val="003D32C8"/>
    <w:rsid w:val="003F630F"/>
    <w:rsid w:val="00423669"/>
    <w:rsid w:val="00426B50"/>
    <w:rsid w:val="00457F88"/>
    <w:rsid w:val="004A7694"/>
    <w:rsid w:val="00502B72"/>
    <w:rsid w:val="00551BBD"/>
    <w:rsid w:val="005B74BF"/>
    <w:rsid w:val="005F0DE0"/>
    <w:rsid w:val="00616441"/>
    <w:rsid w:val="006333BF"/>
    <w:rsid w:val="00657B07"/>
    <w:rsid w:val="00670002"/>
    <w:rsid w:val="006859C0"/>
    <w:rsid w:val="00686014"/>
    <w:rsid w:val="006B690D"/>
    <w:rsid w:val="00717026"/>
    <w:rsid w:val="00726085"/>
    <w:rsid w:val="007C5606"/>
    <w:rsid w:val="007D7531"/>
    <w:rsid w:val="008D37FD"/>
    <w:rsid w:val="00925DC4"/>
    <w:rsid w:val="009C0EF4"/>
    <w:rsid w:val="009E4F72"/>
    <w:rsid w:val="00A33FBF"/>
    <w:rsid w:val="00AD6DEA"/>
    <w:rsid w:val="00B05E6C"/>
    <w:rsid w:val="00B866EB"/>
    <w:rsid w:val="00C25E23"/>
    <w:rsid w:val="00C37004"/>
    <w:rsid w:val="00C53DE2"/>
    <w:rsid w:val="00CC4C90"/>
    <w:rsid w:val="00CD10AB"/>
    <w:rsid w:val="00DD099F"/>
    <w:rsid w:val="00DD73BE"/>
    <w:rsid w:val="00DF640E"/>
    <w:rsid w:val="00E146D0"/>
    <w:rsid w:val="00E15E8A"/>
    <w:rsid w:val="00E55B13"/>
    <w:rsid w:val="00E76192"/>
    <w:rsid w:val="00E76E1D"/>
    <w:rsid w:val="00EA3683"/>
    <w:rsid w:val="00ED6788"/>
    <w:rsid w:val="00ED686D"/>
    <w:rsid w:val="00ED7A13"/>
    <w:rsid w:val="00F0795C"/>
    <w:rsid w:val="00F1515A"/>
    <w:rsid w:val="00F160F3"/>
    <w:rsid w:val="00F2011D"/>
    <w:rsid w:val="00FD5D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EF6D"/>
  <w15:docId w15:val="{A57360D7-C64F-41E9-B437-618D2059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Intestazione">
    <w:name w:val="header"/>
    <w:next w:val="Intestazione2"/>
    <w:pPr>
      <w:tabs>
        <w:tab w:val="left" w:pos="284"/>
      </w:tabs>
      <w:spacing w:before="480" w:line="240" w:lineRule="exact"/>
      <w:ind w:left="284" w:hanging="284"/>
      <w:jc w:val="both"/>
      <w:outlineLvl w:val="0"/>
    </w:pPr>
    <w:rPr>
      <w:rFonts w:ascii="Times" w:hAnsi="Times" w:cs="Arial Unicode MS"/>
      <w:b/>
      <w:bCs/>
      <w:color w:val="000000"/>
      <w:u w:color="000000"/>
    </w:rPr>
  </w:style>
  <w:style w:type="paragraph" w:customStyle="1" w:styleId="Intestazione2">
    <w:name w:val="Intestazione 2"/>
    <w:next w:val="Intestazione3"/>
    <w:pPr>
      <w:tabs>
        <w:tab w:val="left" w:pos="284"/>
      </w:tabs>
      <w:spacing w:line="240" w:lineRule="exact"/>
      <w:jc w:val="both"/>
      <w:outlineLvl w:val="1"/>
    </w:pPr>
    <w:rPr>
      <w:rFonts w:ascii="Times" w:hAnsi="Times" w:cs="Arial Unicode MS"/>
      <w:smallCaps/>
      <w:color w:val="000000"/>
      <w:sz w:val="18"/>
      <w:szCs w:val="18"/>
      <w:u w:color="000000"/>
    </w:rPr>
  </w:style>
  <w:style w:type="paragraph" w:customStyle="1" w:styleId="Intestazione3">
    <w:name w:val="Intestazione 3"/>
    <w:next w:val="CorpoA"/>
    <w:pPr>
      <w:tabs>
        <w:tab w:val="left" w:pos="284"/>
      </w:tabs>
      <w:spacing w:before="240" w:after="120" w:line="240" w:lineRule="exact"/>
      <w:ind w:left="284" w:hanging="284"/>
      <w:jc w:val="both"/>
      <w:outlineLvl w:val="2"/>
    </w:pPr>
    <w:rPr>
      <w:rFonts w:ascii="Times" w:hAnsi="Times" w:cs="Arial Unicode MS"/>
      <w:i/>
      <w:iCs/>
      <w:caps/>
      <w:color w:val="000000"/>
      <w:sz w:val="18"/>
      <w:szCs w:val="18"/>
      <w:u w:color="000000"/>
    </w:rPr>
  </w:style>
  <w:style w:type="paragraph" w:customStyle="1" w:styleId="CorpoA">
    <w:name w:val="Corpo A"/>
    <w:pPr>
      <w:tabs>
        <w:tab w:val="left" w:pos="284"/>
      </w:tabs>
      <w:spacing w:line="220" w:lineRule="exact"/>
      <w:jc w:val="both"/>
    </w:pPr>
    <w:rPr>
      <w:rFonts w:cs="Arial Unicode MS"/>
      <w:color w:val="000000"/>
      <w:u w:color="000000"/>
    </w:rPr>
  </w:style>
  <w:style w:type="paragraph" w:customStyle="1" w:styleId="Testo1">
    <w:name w:val="Testo 1"/>
    <w:pPr>
      <w:tabs>
        <w:tab w:val="left" w:pos="284"/>
      </w:tabs>
      <w:spacing w:before="120" w:line="220" w:lineRule="exact"/>
      <w:ind w:left="284" w:hanging="284"/>
      <w:jc w:val="both"/>
    </w:pPr>
    <w:rPr>
      <w:rFonts w:ascii="Times" w:hAnsi="Times"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1026</Words>
  <Characters>5850</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7</cp:revision>
  <dcterms:created xsi:type="dcterms:W3CDTF">2023-06-27T09:27:00Z</dcterms:created>
  <dcterms:modified xsi:type="dcterms:W3CDTF">2024-01-10T08:23:00Z</dcterms:modified>
</cp:coreProperties>
</file>