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4C63" w14:textId="77777777" w:rsidR="006B7C58" w:rsidRPr="00566FA5" w:rsidRDefault="00882F4E">
      <w:pPr>
        <w:pStyle w:val="Titolo1"/>
        <w:spacing w:before="0"/>
      </w:pPr>
      <w:r w:rsidRPr="00566FA5">
        <w:t>History of the Miniature</w:t>
      </w:r>
    </w:p>
    <w:p w14:paraId="73464848" w14:textId="77777777" w:rsidR="002972DF" w:rsidRPr="00566FA5" w:rsidRDefault="00882F4E" w:rsidP="00CE58E4">
      <w:pPr>
        <w:pStyle w:val="Titolo2"/>
      </w:pPr>
      <w:r w:rsidRPr="00566FA5">
        <w:t>Prof. Milvia Bollati</w:t>
      </w:r>
    </w:p>
    <w:p w14:paraId="6A4FD595" w14:textId="33245A43" w:rsidR="00BC4004" w:rsidRPr="00566FA5" w:rsidRDefault="00BC4004" w:rsidP="00BC4004">
      <w:pPr>
        <w:widowControl/>
        <w:tabs>
          <w:tab w:val="left" w:pos="284"/>
        </w:tabs>
        <w:suppressAutoHyphens w:val="0"/>
        <w:autoSpaceDN/>
        <w:spacing w:before="240" w:after="120" w:line="240" w:lineRule="exact"/>
        <w:jc w:val="both"/>
        <w:textAlignment w:val="auto"/>
        <w:rPr>
          <w:b/>
          <w:i/>
          <w:kern w:val="0"/>
          <w:sz w:val="18"/>
          <w:szCs w:val="24"/>
        </w:rPr>
      </w:pPr>
      <w:r w:rsidRPr="00566FA5">
        <w:rPr>
          <w:b/>
          <w:i/>
          <w:sz w:val="18"/>
          <w:szCs w:val="24"/>
        </w:rPr>
        <w:t xml:space="preserve">COURSE AIMS AND INTENDED LEARNING OUTCOMES </w:t>
      </w:r>
    </w:p>
    <w:p w14:paraId="13C1B6D5" w14:textId="49E75B3C" w:rsidR="00BC4004" w:rsidRPr="00E21A22" w:rsidRDefault="00BC4004" w:rsidP="00D20D4E">
      <w:pPr>
        <w:spacing w:line="240" w:lineRule="exact"/>
        <w:jc w:val="both"/>
        <w:rPr>
          <w:strike/>
          <w:color w:val="FF0000"/>
        </w:rPr>
      </w:pPr>
      <w:r w:rsidRPr="00566FA5">
        <w:t>The objective of this introductory, semester-long course is to offer students a framework within which to summarise the issues related to the study of miniature through various case studies. By the end of the course, students will have learned about the research tools and methods required for studying miniature from Late Antiquity to the Middle Ages.</w:t>
      </w:r>
      <w:r w:rsidR="002C4E9E" w:rsidRPr="00566FA5">
        <w:t xml:space="preserve"> </w:t>
      </w:r>
      <w:r w:rsidR="002A5EF1" w:rsidRPr="002A5EF1">
        <w:rPr>
          <w:szCs w:val="18"/>
        </w:rPr>
        <w:t>Le</w:t>
      </w:r>
      <w:r w:rsidR="002A5EF1">
        <w:rPr>
          <w:szCs w:val="18"/>
        </w:rPr>
        <w:t>ctures</w:t>
      </w:r>
      <w:r w:rsidR="002A5EF1" w:rsidRPr="002A5EF1">
        <w:rPr>
          <w:szCs w:val="18"/>
        </w:rPr>
        <w:t xml:space="preserve"> in Milanese libraries will allow the student to confront the direct study of the code</w:t>
      </w:r>
      <w:r w:rsidR="002A5EF1">
        <w:rPr>
          <w:szCs w:val="18"/>
        </w:rPr>
        <w:t>.</w:t>
      </w:r>
    </w:p>
    <w:p w14:paraId="098FCCF8" w14:textId="77777777" w:rsidR="006B7C58" w:rsidRPr="00566FA5" w:rsidRDefault="00882F4E">
      <w:pPr>
        <w:pStyle w:val="Standard"/>
        <w:spacing w:before="240" w:after="120"/>
        <w:rPr>
          <w:lang w:val="en-US"/>
        </w:rPr>
      </w:pPr>
      <w:r w:rsidRPr="00566FA5">
        <w:rPr>
          <w:b/>
          <w:i/>
          <w:color w:val="000000"/>
          <w:sz w:val="18"/>
          <w:szCs w:val="18"/>
          <w:lang w:val="en-US"/>
        </w:rPr>
        <w:t>COURSE CONTENT</w:t>
      </w:r>
    </w:p>
    <w:p w14:paraId="6CB6F36C" w14:textId="6AFF6C87" w:rsidR="00156465" w:rsidRDefault="00E21A22" w:rsidP="002C4E9E">
      <w:pPr>
        <w:jc w:val="both"/>
        <w:rPr>
          <w:szCs w:val="18"/>
        </w:rPr>
      </w:pPr>
      <w:r>
        <w:rPr>
          <w:szCs w:val="18"/>
        </w:rPr>
        <w:t>The course</w:t>
      </w:r>
      <w:r w:rsidRPr="00E21A22">
        <w:rPr>
          <w:szCs w:val="18"/>
        </w:rPr>
        <w:t xml:space="preserve"> </w:t>
      </w:r>
      <w:r w:rsidR="00156465" w:rsidRPr="00566FA5">
        <w:rPr>
          <w:szCs w:val="18"/>
        </w:rPr>
        <w:t>will be focused on the following topics: an introduction to the study of illuminated manuscripts: supports, techniques, and materi</w:t>
      </w:r>
      <w:r w:rsidR="0031557F" w:rsidRPr="00566FA5">
        <w:rPr>
          <w:szCs w:val="18"/>
        </w:rPr>
        <w:t>als; the</w:t>
      </w:r>
      <w:r w:rsidR="00156465" w:rsidRPr="00566FA5">
        <w:rPr>
          <w:szCs w:val="18"/>
        </w:rPr>
        <w:t xml:space="preserve"> transcription and transmission</w:t>
      </w:r>
      <w:r w:rsidR="0031557F" w:rsidRPr="00566FA5">
        <w:rPr>
          <w:szCs w:val="18"/>
        </w:rPr>
        <w:t xml:space="preserve"> of texts</w:t>
      </w:r>
      <w:r w:rsidR="00156465" w:rsidRPr="00566FA5">
        <w:rPr>
          <w:szCs w:val="18"/>
        </w:rPr>
        <w:t>; the role played by copyists, calligraphists, and illuminators; an introduction to artistic bookbinding, supported by some examples of the Carolingian and the Ottonian era</w:t>
      </w:r>
      <w:r w:rsidR="004241BE" w:rsidRPr="00566FA5">
        <w:rPr>
          <w:szCs w:val="18"/>
        </w:rPr>
        <w:t>;</w:t>
      </w:r>
      <w:r w:rsidR="00156465" w:rsidRPr="00566FA5">
        <w:rPr>
          <w:szCs w:val="18"/>
        </w:rPr>
        <w:t xml:space="preserve"> </w:t>
      </w:r>
      <w:r w:rsidR="004241BE" w:rsidRPr="00566FA5">
        <w:rPr>
          <w:szCs w:val="18"/>
        </w:rPr>
        <w:t>the transformation and re-use of ancient bookbinding</w:t>
      </w:r>
      <w:r w:rsidR="0031557F" w:rsidRPr="00566FA5">
        <w:rPr>
          <w:szCs w:val="18"/>
        </w:rPr>
        <w:t xml:space="preserve"> techniques</w:t>
      </w:r>
      <w:r w:rsidR="004241BE" w:rsidRPr="00566FA5">
        <w:rPr>
          <w:szCs w:val="18"/>
        </w:rPr>
        <w:t>; buyers and receivers; the organisation of studios and the autography issue;</w:t>
      </w:r>
      <w:r>
        <w:rPr>
          <w:szCs w:val="18"/>
        </w:rPr>
        <w:t xml:space="preserve"> </w:t>
      </w:r>
      <w:r w:rsidR="002A5EF1" w:rsidRPr="002A5EF1">
        <w:rPr>
          <w:szCs w:val="18"/>
        </w:rPr>
        <w:t>signatures and self-portraits</w:t>
      </w:r>
      <w:r>
        <w:rPr>
          <w:szCs w:val="18"/>
        </w:rPr>
        <w:t>;</w:t>
      </w:r>
      <w:r w:rsidR="004241BE" w:rsidRPr="00566FA5">
        <w:rPr>
          <w:szCs w:val="18"/>
        </w:rPr>
        <w:t xml:space="preserve"> the different types of manuscripts, with a focus on liturgical books; iconographical choices and illustrative programmes; studios and</w:t>
      </w:r>
      <w:r w:rsidR="0031557F" w:rsidRPr="00566FA5">
        <w:rPr>
          <w:szCs w:val="18"/>
        </w:rPr>
        <w:t xml:space="preserve"> the transmission of</w:t>
      </w:r>
      <w:r w:rsidR="004241BE" w:rsidRPr="00566FA5">
        <w:rPr>
          <w:szCs w:val="18"/>
        </w:rPr>
        <w:t xml:space="preserve"> model</w:t>
      </w:r>
      <w:r w:rsidR="0031557F" w:rsidRPr="00566FA5">
        <w:rPr>
          <w:szCs w:val="18"/>
        </w:rPr>
        <w:t>s</w:t>
      </w:r>
      <w:r w:rsidR="004241BE" w:rsidRPr="00566FA5">
        <w:rPr>
          <w:szCs w:val="18"/>
        </w:rPr>
        <w:t>; conservation and the rise of collecting</w:t>
      </w:r>
      <w:r w:rsidR="009635DE">
        <w:rPr>
          <w:szCs w:val="18"/>
        </w:rPr>
        <w:t>.</w:t>
      </w:r>
    </w:p>
    <w:p w14:paraId="78636A04" w14:textId="77777777" w:rsidR="009635DE" w:rsidRDefault="009635DE" w:rsidP="009635DE">
      <w:pPr>
        <w:pStyle w:val="Standard"/>
        <w:spacing w:before="120"/>
        <w:rPr>
          <w:rFonts w:ascii="Times New Roman" w:hAnsi="Times New Roman"/>
          <w:szCs w:val="18"/>
          <w:lang w:eastAsia="it-IT"/>
        </w:rPr>
      </w:pPr>
      <w:r w:rsidRPr="009635DE">
        <w:rPr>
          <w:rFonts w:ascii="Times New Roman" w:hAnsi="Times New Roman"/>
          <w:szCs w:val="18"/>
          <w:lang w:eastAsia="it-IT"/>
        </w:rPr>
        <w:t>In the second part of the course, with reference to the IX-XV centuries, the major types of illustrations and their development from the studies of Otto Pächt, the function of illustration and iconographic programs will be addressed.</w:t>
      </w:r>
    </w:p>
    <w:p w14:paraId="031F5F7A" w14:textId="3A80C070" w:rsidR="006B7C58" w:rsidRPr="00566FA5" w:rsidRDefault="00882F4E">
      <w:pPr>
        <w:pStyle w:val="Standard"/>
        <w:spacing w:before="240" w:after="120"/>
      </w:pPr>
      <w:r w:rsidRPr="00566FA5">
        <w:rPr>
          <w:b/>
          <w:i/>
          <w:color w:val="000000"/>
          <w:sz w:val="18"/>
          <w:szCs w:val="18"/>
        </w:rPr>
        <w:t>READING LIST</w:t>
      </w:r>
    </w:p>
    <w:p w14:paraId="0799FAA6" w14:textId="77777777" w:rsidR="00F503F3" w:rsidRDefault="00F503F3" w:rsidP="00F503F3">
      <w:pPr>
        <w:pStyle w:val="Testo1"/>
        <w:spacing w:line="240" w:lineRule="auto"/>
        <w:rPr>
          <w:rFonts w:ascii="Times New Roman" w:hAnsi="Times New Roman"/>
          <w:sz w:val="16"/>
          <w:szCs w:val="18"/>
        </w:rPr>
      </w:pPr>
      <w:r w:rsidRPr="000032ED">
        <w:rPr>
          <w:rFonts w:ascii="Times New Roman" w:hAnsi="Times New Roman"/>
          <w:smallCaps/>
          <w:sz w:val="16"/>
          <w:szCs w:val="18"/>
        </w:rPr>
        <w:t>O. Pächt</w:t>
      </w:r>
      <w:r>
        <w:rPr>
          <w:rFonts w:ascii="Times New Roman" w:hAnsi="Times New Roman"/>
          <w:sz w:val="16"/>
          <w:szCs w:val="18"/>
        </w:rPr>
        <w:t xml:space="preserve">, </w:t>
      </w:r>
      <w:r w:rsidRPr="000032ED">
        <w:rPr>
          <w:rFonts w:ascii="Times New Roman" w:hAnsi="Times New Roman"/>
          <w:i/>
          <w:sz w:val="16"/>
          <w:szCs w:val="18"/>
        </w:rPr>
        <w:t>La miniatura medievale. Una introduzione</w:t>
      </w:r>
      <w:r>
        <w:rPr>
          <w:rFonts w:ascii="Times New Roman" w:hAnsi="Times New Roman"/>
          <w:sz w:val="16"/>
          <w:szCs w:val="18"/>
        </w:rPr>
        <w:t>, Torino 2013.</w:t>
      </w:r>
    </w:p>
    <w:p w14:paraId="6482E1D7" w14:textId="77777777" w:rsidR="006B7C58" w:rsidRPr="00566FA5" w:rsidRDefault="00882F4E" w:rsidP="003D00B2">
      <w:pPr>
        <w:pStyle w:val="Testo1"/>
        <w:spacing w:line="240" w:lineRule="auto"/>
        <w:rPr>
          <w:rFonts w:ascii="Times New Roman" w:hAnsi="Times New Roman"/>
          <w:noProof/>
          <w:kern w:val="0"/>
          <w:szCs w:val="18"/>
          <w:lang w:val="it-IT"/>
        </w:rPr>
      </w:pPr>
      <w:r w:rsidRPr="00566FA5">
        <w:rPr>
          <w:smallCaps/>
          <w:sz w:val="16"/>
          <w:lang w:val="it-IT"/>
        </w:rPr>
        <w:t>J.J.G. Alexander,</w:t>
      </w:r>
      <w:r w:rsidRPr="00566FA5">
        <w:rPr>
          <w:i/>
          <w:lang w:val="it-IT"/>
        </w:rPr>
        <w:t xml:space="preserve"> I miniatori medievali e i loro metodi di lavoro,</w:t>
      </w:r>
      <w:r w:rsidRPr="00566FA5">
        <w:rPr>
          <w:lang w:val="it-IT"/>
        </w:rPr>
        <w:t xml:space="preserve"> Modena, 2003, </w:t>
      </w:r>
      <w:r w:rsidRPr="00566FA5">
        <w:rPr>
          <w:rFonts w:ascii="Times New Roman" w:hAnsi="Times New Roman"/>
          <w:szCs w:val="18"/>
          <w:lang w:val="it-IT"/>
        </w:rPr>
        <w:t>chapters 1, 2 and 3.</w:t>
      </w:r>
    </w:p>
    <w:p w14:paraId="0C1EF323" w14:textId="7CD9EB58" w:rsidR="00BC4004" w:rsidRPr="00566FA5" w:rsidRDefault="00E21A22" w:rsidP="00BC4004">
      <w:pPr>
        <w:pStyle w:val="Testo1"/>
      </w:pPr>
      <w:r>
        <w:t xml:space="preserve">Further </w:t>
      </w:r>
      <w:r w:rsidR="00BC4004" w:rsidRPr="00566FA5">
        <w:t xml:space="preserve">reading material for the exam will be provided by the lecturer and available from the photocopy office.  </w:t>
      </w:r>
    </w:p>
    <w:p w14:paraId="48357C12" w14:textId="77777777" w:rsidR="006B7C58" w:rsidRPr="00566FA5" w:rsidRDefault="00882F4E">
      <w:pPr>
        <w:pStyle w:val="Standard"/>
        <w:spacing w:before="240" w:after="120" w:line="220" w:lineRule="exact"/>
      </w:pPr>
      <w:r w:rsidRPr="00566FA5">
        <w:rPr>
          <w:b/>
          <w:i/>
          <w:color w:val="000000"/>
          <w:sz w:val="18"/>
          <w:szCs w:val="18"/>
          <w:shd w:val="clear" w:color="auto" w:fill="FFFFFF"/>
        </w:rPr>
        <w:t>T</w:t>
      </w:r>
      <w:r w:rsidRPr="00566FA5">
        <w:rPr>
          <w:b/>
          <w:i/>
          <w:color w:val="000000"/>
          <w:sz w:val="18"/>
          <w:szCs w:val="18"/>
        </w:rPr>
        <w:t>EACHING METHOD</w:t>
      </w:r>
    </w:p>
    <w:p w14:paraId="46E5A843" w14:textId="77777777" w:rsidR="006B7C58" w:rsidRPr="00566FA5" w:rsidRDefault="00882F4E" w:rsidP="004B2E86">
      <w:pPr>
        <w:tabs>
          <w:tab w:val="left" w:pos="708"/>
        </w:tabs>
        <w:spacing w:line="220" w:lineRule="exact"/>
        <w:ind w:firstLine="284"/>
        <w:rPr>
          <w:rFonts w:ascii="Times" w:hAnsi="Times"/>
          <w:sz w:val="18"/>
          <w:szCs w:val="18"/>
        </w:rPr>
      </w:pPr>
      <w:r w:rsidRPr="00566FA5">
        <w:rPr>
          <w:color w:val="000000"/>
          <w:sz w:val="18"/>
        </w:rPr>
        <w:t>Classroom lectures and lectures held in the archives and libraries of Milan. Seminars and guided exercises</w:t>
      </w:r>
      <w:r w:rsidRPr="00566FA5">
        <w:rPr>
          <w:rFonts w:ascii="Times" w:hAnsi="Times"/>
          <w:sz w:val="18"/>
          <w:szCs w:val="18"/>
        </w:rPr>
        <w:t xml:space="preserve">. A visit to a laboratory of manuscript and printed books restoration is also planned. </w:t>
      </w:r>
    </w:p>
    <w:p w14:paraId="69477EDA" w14:textId="77777777" w:rsidR="00BC4004" w:rsidRPr="00566FA5" w:rsidRDefault="00BC4004" w:rsidP="00BC4004">
      <w:pPr>
        <w:widowControl/>
        <w:tabs>
          <w:tab w:val="left" w:pos="284"/>
        </w:tabs>
        <w:suppressAutoHyphens w:val="0"/>
        <w:autoSpaceDN/>
        <w:spacing w:before="240" w:after="120" w:line="220" w:lineRule="exact"/>
        <w:jc w:val="both"/>
        <w:textAlignment w:val="auto"/>
        <w:rPr>
          <w:b/>
          <w:i/>
          <w:kern w:val="0"/>
          <w:sz w:val="18"/>
          <w:szCs w:val="24"/>
        </w:rPr>
      </w:pPr>
      <w:r w:rsidRPr="00566FA5">
        <w:rPr>
          <w:b/>
          <w:i/>
          <w:sz w:val="18"/>
          <w:szCs w:val="24"/>
        </w:rPr>
        <w:t>ASSESSMENT METHOD AND CRITERIA</w:t>
      </w:r>
    </w:p>
    <w:p w14:paraId="76DA688E" w14:textId="77777777" w:rsidR="00BC4004" w:rsidRPr="00566FA5" w:rsidRDefault="00882F4E" w:rsidP="00BC4004">
      <w:pPr>
        <w:pStyle w:val="Testo2"/>
        <w:rPr>
          <w:noProof/>
          <w:kern w:val="0"/>
        </w:rPr>
      </w:pPr>
      <w:r w:rsidRPr="00566FA5">
        <w:rPr>
          <w:color w:val="000000"/>
        </w:rPr>
        <w:lastRenderedPageBreak/>
        <w:t xml:space="preserve">Oral examination focuses on topics studied in class and on the reading list indicated above. Students can make arrangements with the lecturer to do written exercises or carry out further study on </w:t>
      </w:r>
      <w:r w:rsidRPr="00566FA5">
        <w:t xml:space="preserve">the course topics or on individual manuscripts. These exercises will be subject to evaluation in the exam. </w:t>
      </w:r>
    </w:p>
    <w:p w14:paraId="33E9F6FD" w14:textId="77777777" w:rsidR="00BC4004" w:rsidRPr="00566FA5" w:rsidRDefault="00BC4004" w:rsidP="00BC4004">
      <w:pPr>
        <w:pStyle w:val="Testo2"/>
        <w:spacing w:before="240" w:after="120"/>
        <w:ind w:firstLine="0"/>
        <w:rPr>
          <w:noProof/>
          <w:kern w:val="0"/>
        </w:rPr>
      </w:pPr>
      <w:r w:rsidRPr="00566FA5">
        <w:rPr>
          <w:b/>
          <w:i/>
          <w:szCs w:val="24"/>
        </w:rPr>
        <w:t>NOTES AND PREREQUISITES</w:t>
      </w:r>
    </w:p>
    <w:p w14:paraId="31B514DD" w14:textId="77777777" w:rsidR="00BC4004" w:rsidRPr="00566FA5" w:rsidRDefault="00BC4004" w:rsidP="00BC4004">
      <w:pPr>
        <w:widowControl/>
        <w:tabs>
          <w:tab w:val="left" w:pos="284"/>
        </w:tabs>
        <w:suppressAutoHyphens w:val="0"/>
        <w:autoSpaceDN/>
        <w:spacing w:line="220" w:lineRule="exact"/>
        <w:ind w:firstLine="284"/>
        <w:jc w:val="both"/>
        <w:textAlignment w:val="auto"/>
        <w:rPr>
          <w:rFonts w:ascii="Times" w:hAnsi="Times"/>
          <w:noProof/>
          <w:kern w:val="0"/>
          <w:sz w:val="18"/>
        </w:rPr>
      </w:pPr>
      <w:r w:rsidRPr="00566FA5">
        <w:rPr>
          <w:rFonts w:ascii="Times" w:hAnsi="Times"/>
          <w:sz w:val="18"/>
        </w:rPr>
        <w:t xml:space="preserve">The course is designed for undergraduate students and is also open to students enrolled on Literature and Modern Philology degree programmes.  Since this is an introductory course, there are no prerequisites. Students will however be provided with details of all relevant reading material during lectures. </w:t>
      </w:r>
    </w:p>
    <w:p w14:paraId="0AEE2AAB" w14:textId="77777777" w:rsidR="006B7C58" w:rsidRDefault="00882F4E">
      <w:pPr>
        <w:pStyle w:val="Testo2"/>
        <w:spacing w:before="120"/>
      </w:pPr>
      <w:r w:rsidRPr="00566FA5">
        <w:t>Further information can be found on the lecturer's webpage at http://docenti.unicatt.it/web/searchByName.do?language=ENG or on the Faculty notice board.</w:t>
      </w:r>
    </w:p>
    <w:sectPr w:rsidR="006B7C58">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194E" w14:textId="77777777" w:rsidR="00BD45D7" w:rsidRDefault="00BD45D7">
      <w:r>
        <w:separator/>
      </w:r>
    </w:p>
  </w:endnote>
  <w:endnote w:type="continuationSeparator" w:id="0">
    <w:p w14:paraId="2616A8E5" w14:textId="77777777" w:rsidR="00BD45D7" w:rsidRDefault="00B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A76D" w14:textId="77777777" w:rsidR="00BD45D7" w:rsidRDefault="00BD45D7">
      <w:r>
        <w:rPr>
          <w:color w:val="000000"/>
        </w:rPr>
        <w:separator/>
      </w:r>
    </w:p>
  </w:footnote>
  <w:footnote w:type="continuationSeparator" w:id="0">
    <w:p w14:paraId="39B868FB" w14:textId="77777777" w:rsidR="00BD45D7" w:rsidRDefault="00BD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3CEB"/>
    <w:multiLevelType w:val="multilevel"/>
    <w:tmpl w:val="834682D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120540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58"/>
    <w:rsid w:val="0009071A"/>
    <w:rsid w:val="000B0993"/>
    <w:rsid w:val="000C116F"/>
    <w:rsid w:val="000E265A"/>
    <w:rsid w:val="00156465"/>
    <w:rsid w:val="00202308"/>
    <w:rsid w:val="002972DF"/>
    <w:rsid w:val="002A48D1"/>
    <w:rsid w:val="002A5EF1"/>
    <w:rsid w:val="002C4E9E"/>
    <w:rsid w:val="0031557F"/>
    <w:rsid w:val="00320632"/>
    <w:rsid w:val="00363AA3"/>
    <w:rsid w:val="003D00B2"/>
    <w:rsid w:val="004241BE"/>
    <w:rsid w:val="004B2E86"/>
    <w:rsid w:val="00521DE7"/>
    <w:rsid w:val="00566FA5"/>
    <w:rsid w:val="005D5AEF"/>
    <w:rsid w:val="006B7C58"/>
    <w:rsid w:val="006C3277"/>
    <w:rsid w:val="008104DD"/>
    <w:rsid w:val="00864560"/>
    <w:rsid w:val="00882F4E"/>
    <w:rsid w:val="009635DE"/>
    <w:rsid w:val="00A855FE"/>
    <w:rsid w:val="00B109CE"/>
    <w:rsid w:val="00B21E18"/>
    <w:rsid w:val="00B255AD"/>
    <w:rsid w:val="00B55FD1"/>
    <w:rsid w:val="00B741BE"/>
    <w:rsid w:val="00BC4004"/>
    <w:rsid w:val="00BD45D7"/>
    <w:rsid w:val="00BE328C"/>
    <w:rsid w:val="00CB4BFE"/>
    <w:rsid w:val="00CE58E4"/>
    <w:rsid w:val="00D20D4E"/>
    <w:rsid w:val="00D3358E"/>
    <w:rsid w:val="00D704D8"/>
    <w:rsid w:val="00DB0FEE"/>
    <w:rsid w:val="00E0313E"/>
    <w:rsid w:val="00E21A22"/>
    <w:rsid w:val="00EA6112"/>
    <w:rsid w:val="00EB7F90"/>
    <w:rsid w:val="00F503F3"/>
    <w:rsid w:val="00F55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7445"/>
  <w15:docId w15:val="{0B83BDE2-6F7A-4B1B-B349-1C1A81E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extbody"/>
    <w:pPr>
      <w:spacing w:before="480"/>
      <w:outlineLvl w:val="0"/>
    </w:pPr>
    <w:rPr>
      <w:rFonts w:ascii="Times" w:hAnsi="Times" w:cs="Times"/>
      <w:b/>
    </w:rPr>
  </w:style>
  <w:style w:type="paragraph" w:styleId="Titolo2">
    <w:name w:val="heading 2"/>
    <w:next w:val="Textbody"/>
    <w:pPr>
      <w:outlineLvl w:val="1"/>
    </w:pPr>
    <w:rPr>
      <w:rFonts w:ascii="Times" w:hAnsi="Times" w:cs="Times"/>
      <w:smallCaps/>
      <w:sz w:val="18"/>
    </w:rPr>
  </w:style>
  <w:style w:type="paragraph" w:styleId="Titolo3">
    <w:name w:val="heading 3"/>
    <w:next w:val="Textbody"/>
    <w:pPr>
      <w:outlineLvl w:val="2"/>
    </w:pPr>
    <w:rPr>
      <w:rFonts w:ascii="Times" w:hAnsi="Times" w:cs="Times"/>
      <w:i/>
      <w:caps/>
      <w:sz w:val="18"/>
    </w:rPr>
  </w:style>
  <w:style w:type="paragraph" w:styleId="Titolo4">
    <w:name w:val="heading 4"/>
    <w:basedOn w:val="Standard"/>
    <w:next w:val="Textbody"/>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Intestazione1">
    <w:name w:val="Intestazione1"/>
    <w:basedOn w:val="Standard"/>
    <w:pPr>
      <w:keepNext/>
      <w:spacing w:before="240" w:after="120"/>
    </w:pPr>
    <w:rPr>
      <w:rFonts w:ascii="Arial" w:eastAsia="Arial Unicode MS" w:hAnsi="Arial" w:cs="Arial Unicode MS"/>
      <w:sz w:val="28"/>
      <w:szCs w:val="28"/>
    </w:rPr>
  </w:style>
  <w:style w:type="paragraph" w:customStyle="1" w:styleId="Didascalia1">
    <w:name w:val="Didascalia1"/>
    <w:basedOn w:val="Standard"/>
    <w:pPr>
      <w:suppressLineNumbers/>
      <w:spacing w:before="120" w:after="120"/>
    </w:pPr>
    <w:rPr>
      <w:i/>
      <w:iCs/>
      <w:sz w:val="24"/>
      <w:szCs w:val="24"/>
    </w:rPr>
  </w:style>
  <w:style w:type="paragraph" w:customStyle="1" w:styleId="Testo1">
    <w:name w:val="Testo 1"/>
    <w:pPr>
      <w:widowControl/>
      <w:spacing w:line="220" w:lineRule="exact"/>
      <w:ind w:left="284" w:hanging="284"/>
      <w:jc w:val="both"/>
    </w:pPr>
    <w:rPr>
      <w:rFonts w:ascii="Times" w:hAnsi="Times"/>
      <w:sz w:val="18"/>
      <w:lang w:eastAsia="ar-SA"/>
    </w:rPr>
  </w:style>
  <w:style w:type="paragraph" w:customStyle="1" w:styleId="Testo2">
    <w:name w:val="Testo 2"/>
    <w:pPr>
      <w:widowControl/>
      <w:spacing w:line="220" w:lineRule="exact"/>
      <w:ind w:firstLine="284"/>
      <w:jc w:val="both"/>
    </w:pPr>
    <w:rPr>
      <w:rFonts w:ascii="Times" w:hAnsi="Times"/>
      <w:sz w:val="1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longtext">
    <w:name w:val="long_text"/>
    <w:basedOn w:val="Carpredefinitoparagrafo1"/>
  </w:style>
  <w:style w:type="character" w:customStyle="1" w:styleId="Titolo3Carattere">
    <w:name w:val="Titolo 3 Carattere"/>
    <w:rPr>
      <w:rFonts w:ascii="Times" w:hAnsi="Times" w:cs="Times"/>
      <w:i/>
      <w:caps/>
      <w:sz w:val="18"/>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2C4E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595">
      <w:bodyDiv w:val="1"/>
      <w:marLeft w:val="0"/>
      <w:marRight w:val="0"/>
      <w:marTop w:val="0"/>
      <w:marBottom w:val="0"/>
      <w:divBdr>
        <w:top w:val="none" w:sz="0" w:space="0" w:color="auto"/>
        <w:left w:val="none" w:sz="0" w:space="0" w:color="auto"/>
        <w:bottom w:val="none" w:sz="0" w:space="0" w:color="auto"/>
        <w:right w:val="none" w:sz="0" w:space="0" w:color="auto"/>
      </w:divBdr>
    </w:div>
    <w:div w:id="344746509">
      <w:bodyDiv w:val="1"/>
      <w:marLeft w:val="0"/>
      <w:marRight w:val="0"/>
      <w:marTop w:val="0"/>
      <w:marBottom w:val="0"/>
      <w:divBdr>
        <w:top w:val="none" w:sz="0" w:space="0" w:color="auto"/>
        <w:left w:val="none" w:sz="0" w:space="0" w:color="auto"/>
        <w:bottom w:val="none" w:sz="0" w:space="0" w:color="auto"/>
        <w:right w:val="none" w:sz="0" w:space="0" w:color="auto"/>
      </w:divBdr>
    </w:div>
    <w:div w:id="804129706">
      <w:bodyDiv w:val="1"/>
      <w:marLeft w:val="0"/>
      <w:marRight w:val="0"/>
      <w:marTop w:val="0"/>
      <w:marBottom w:val="0"/>
      <w:divBdr>
        <w:top w:val="none" w:sz="0" w:space="0" w:color="auto"/>
        <w:left w:val="none" w:sz="0" w:space="0" w:color="auto"/>
        <w:bottom w:val="none" w:sz="0" w:space="0" w:color="auto"/>
        <w:right w:val="none" w:sz="0" w:space="0" w:color="auto"/>
      </w:divBdr>
    </w:div>
    <w:div w:id="1035083616">
      <w:bodyDiv w:val="1"/>
      <w:marLeft w:val="0"/>
      <w:marRight w:val="0"/>
      <w:marTop w:val="0"/>
      <w:marBottom w:val="0"/>
      <w:divBdr>
        <w:top w:val="none" w:sz="0" w:space="0" w:color="auto"/>
        <w:left w:val="none" w:sz="0" w:space="0" w:color="auto"/>
        <w:bottom w:val="none" w:sz="0" w:space="0" w:color="auto"/>
        <w:right w:val="none" w:sz="0" w:space="0" w:color="auto"/>
      </w:divBdr>
    </w:div>
    <w:div w:id="1127746408">
      <w:bodyDiv w:val="1"/>
      <w:marLeft w:val="0"/>
      <w:marRight w:val="0"/>
      <w:marTop w:val="0"/>
      <w:marBottom w:val="0"/>
      <w:divBdr>
        <w:top w:val="none" w:sz="0" w:space="0" w:color="auto"/>
        <w:left w:val="none" w:sz="0" w:space="0" w:color="auto"/>
        <w:bottom w:val="none" w:sz="0" w:space="0" w:color="auto"/>
        <w:right w:val="none" w:sz="0" w:space="0" w:color="auto"/>
      </w:divBdr>
    </w:div>
    <w:div w:id="1214392416">
      <w:bodyDiv w:val="1"/>
      <w:marLeft w:val="0"/>
      <w:marRight w:val="0"/>
      <w:marTop w:val="0"/>
      <w:marBottom w:val="0"/>
      <w:divBdr>
        <w:top w:val="none" w:sz="0" w:space="0" w:color="auto"/>
        <w:left w:val="none" w:sz="0" w:space="0" w:color="auto"/>
        <w:bottom w:val="none" w:sz="0" w:space="0" w:color="auto"/>
        <w:right w:val="none" w:sz="0" w:space="0" w:color="auto"/>
      </w:divBdr>
    </w:div>
    <w:div w:id="1311448453">
      <w:bodyDiv w:val="1"/>
      <w:marLeft w:val="0"/>
      <w:marRight w:val="0"/>
      <w:marTop w:val="0"/>
      <w:marBottom w:val="0"/>
      <w:divBdr>
        <w:top w:val="none" w:sz="0" w:space="0" w:color="auto"/>
        <w:left w:val="none" w:sz="0" w:space="0" w:color="auto"/>
        <w:bottom w:val="none" w:sz="0" w:space="0" w:color="auto"/>
        <w:right w:val="none" w:sz="0" w:space="0" w:color="auto"/>
      </w:divBdr>
    </w:div>
    <w:div w:id="1428187899">
      <w:bodyDiv w:val="1"/>
      <w:marLeft w:val="0"/>
      <w:marRight w:val="0"/>
      <w:marTop w:val="0"/>
      <w:marBottom w:val="0"/>
      <w:divBdr>
        <w:top w:val="none" w:sz="0" w:space="0" w:color="auto"/>
        <w:left w:val="none" w:sz="0" w:space="0" w:color="auto"/>
        <w:bottom w:val="none" w:sz="0" w:space="0" w:color="auto"/>
        <w:right w:val="none" w:sz="0" w:space="0" w:color="auto"/>
      </w:divBdr>
    </w:div>
    <w:div w:id="1843809468">
      <w:bodyDiv w:val="1"/>
      <w:marLeft w:val="0"/>
      <w:marRight w:val="0"/>
      <w:marTop w:val="0"/>
      <w:marBottom w:val="0"/>
      <w:divBdr>
        <w:top w:val="none" w:sz="0" w:space="0" w:color="auto"/>
        <w:left w:val="none" w:sz="0" w:space="0" w:color="auto"/>
        <w:bottom w:val="none" w:sz="0" w:space="0" w:color="auto"/>
        <w:right w:val="none" w:sz="0" w:space="0" w:color="auto"/>
      </w:divBdr>
    </w:div>
    <w:div w:id="1862696299">
      <w:bodyDiv w:val="1"/>
      <w:marLeft w:val="0"/>
      <w:marRight w:val="0"/>
      <w:marTop w:val="0"/>
      <w:marBottom w:val="0"/>
      <w:divBdr>
        <w:top w:val="none" w:sz="0" w:space="0" w:color="auto"/>
        <w:left w:val="none" w:sz="0" w:space="0" w:color="auto"/>
        <w:bottom w:val="none" w:sz="0" w:space="0" w:color="auto"/>
        <w:right w:val="none" w:sz="0" w:space="0" w:color="auto"/>
      </w:divBdr>
    </w:div>
    <w:div w:id="1908761834">
      <w:bodyDiv w:val="1"/>
      <w:marLeft w:val="0"/>
      <w:marRight w:val="0"/>
      <w:marTop w:val="0"/>
      <w:marBottom w:val="0"/>
      <w:divBdr>
        <w:top w:val="none" w:sz="0" w:space="0" w:color="auto"/>
        <w:left w:val="none" w:sz="0" w:space="0" w:color="auto"/>
        <w:bottom w:val="none" w:sz="0" w:space="0" w:color="auto"/>
        <w:right w:val="none" w:sz="0" w:space="0" w:color="auto"/>
      </w:divBdr>
    </w:div>
    <w:div w:id="1960213059">
      <w:bodyDiv w:val="1"/>
      <w:marLeft w:val="0"/>
      <w:marRight w:val="0"/>
      <w:marTop w:val="0"/>
      <w:marBottom w:val="0"/>
      <w:divBdr>
        <w:top w:val="none" w:sz="0" w:space="0" w:color="auto"/>
        <w:left w:val="none" w:sz="0" w:space="0" w:color="auto"/>
        <w:bottom w:val="none" w:sz="0" w:space="0" w:color="auto"/>
        <w:right w:val="none" w:sz="0" w:space="0" w:color="auto"/>
      </w:divBdr>
    </w:div>
    <w:div w:id="210437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2009-06-16T08:19:00Z</cp:lastPrinted>
  <dcterms:created xsi:type="dcterms:W3CDTF">2023-06-21T09:47:00Z</dcterms:created>
  <dcterms:modified xsi:type="dcterms:W3CDTF">2024-01-10T08:22:00Z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