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19DF" w14:textId="77777777" w:rsidR="00D925C3" w:rsidRPr="00982F73" w:rsidRDefault="00D925C3" w:rsidP="00D925C3">
      <w:pPr>
        <w:pStyle w:val="Titolo1"/>
        <w:rPr>
          <w:noProof w:val="0"/>
          <w:lang w:val="en-GB"/>
        </w:rPr>
      </w:pPr>
      <w:r w:rsidRPr="00982F73">
        <w:rPr>
          <w:noProof w:val="0"/>
          <w:lang w:val="en-GB"/>
        </w:rPr>
        <w:t>Endocrinology and human nutrition</w:t>
      </w:r>
    </w:p>
    <w:p w14:paraId="12AD2D0C" w14:textId="5AB06D84" w:rsidR="005E5B96" w:rsidRPr="00EA5A53" w:rsidRDefault="005E5B96" w:rsidP="005E5B96">
      <w:pPr>
        <w:pStyle w:val="Titolo2"/>
      </w:pPr>
      <w:r w:rsidRPr="00982F73">
        <w:rPr>
          <w:lang w:val="en-GB"/>
        </w:rPr>
        <w:t xml:space="preserve">Prof. </w:t>
      </w:r>
      <w:r w:rsidRPr="00EA5A53">
        <w:t xml:space="preserve">Giacinto Miggiano; </w:t>
      </w:r>
      <w:r w:rsidR="000A3CE3" w:rsidRPr="00A721FB">
        <w:rPr>
          <w:lang w:val="en-US"/>
        </w:rPr>
        <w:t xml:space="preserve">Prof. </w:t>
      </w:r>
      <w:r w:rsidR="000A3CE3" w:rsidRPr="00A721FB">
        <w:t>Francesca Cinti</w:t>
      </w:r>
    </w:p>
    <w:p w14:paraId="72835F16" w14:textId="77777777" w:rsidR="000A3CE3" w:rsidRPr="00A721FB" w:rsidRDefault="000A3CE3" w:rsidP="000A3CE3">
      <w:pPr>
        <w:pStyle w:val="Titolo2"/>
        <w:spacing w:before="240"/>
      </w:pPr>
      <w:r w:rsidRPr="00A721FB">
        <w:t xml:space="preserve">Module 1: </w:t>
      </w:r>
      <w:proofErr w:type="spellStart"/>
      <w:r w:rsidRPr="00A721FB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Endocrinology</w:t>
      </w:r>
      <w:proofErr w:type="spellEnd"/>
      <w:r w:rsidRPr="00A721FB">
        <w:rPr>
          <w:rFonts w:ascii="Times New Roman" w:eastAsiaTheme="minorEastAsia" w:hAnsi="Times New Roman"/>
          <w:smallCaps w:val="0"/>
          <w:noProof w:val="0"/>
          <w:sz w:val="20"/>
        </w:rPr>
        <w:t xml:space="preserve"> (Prof. Francesca Cinti)</w:t>
      </w:r>
    </w:p>
    <w:p w14:paraId="34E3C89A" w14:textId="77777777" w:rsidR="000A3CE3" w:rsidRPr="00982F73" w:rsidRDefault="000A3CE3" w:rsidP="000A3CE3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AIMS AND INTENDED LEARNING OUTCOMES</w:t>
      </w:r>
    </w:p>
    <w:p w14:paraId="21938E4B" w14:textId="77777777" w:rsidR="000A3CE3" w:rsidRPr="00982F73" w:rsidRDefault="000A3CE3" w:rsidP="000A3CE3">
      <w:pPr>
        <w:spacing w:before="240" w:after="120" w:line="240" w:lineRule="exact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 course aims to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explore the basic functions of the endocrine metabolic system and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, in particular, their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impact on motor skills and vice versa. </w:t>
      </w:r>
    </w:p>
    <w:p w14:paraId="34C69EA0" w14:textId="77777777" w:rsidR="000A3CE3" w:rsidRPr="00982F73" w:rsidRDefault="000A3CE3" w:rsidP="000A3CE3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Knowledge and understanding (Dublin 1) </w:t>
      </w:r>
    </w:p>
    <w:p w14:paraId="42C02FA0" w14:textId="77777777" w:rsidR="000A3CE3" w:rsidRPr="00982F73" w:rsidRDefault="000A3CE3" w:rsidP="000A3CE3">
      <w:pPr>
        <w:spacing w:after="0" w:line="240" w:lineRule="exact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understand the interactions between the endocrine metabolic system and motor </w:t>
      </w:r>
      <w:proofErr w:type="gramStart"/>
      <w:r>
        <w:rPr>
          <w:rFonts w:ascii="Times New Roman" w:hAnsi="Times New Roman" w:cs="Times New Roman"/>
          <w:iCs/>
          <w:sz w:val="20"/>
          <w:szCs w:val="20"/>
          <w:lang w:val="en-GB"/>
        </w:rPr>
        <w:t>skills, and</w:t>
      </w:r>
      <w:proofErr w:type="gram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recognise the main endocrine pathologies and their impact on physical activity.</w:t>
      </w:r>
    </w:p>
    <w:p w14:paraId="61EFDC3F" w14:textId="77777777" w:rsidR="000A3CE3" w:rsidRPr="00982F73" w:rsidRDefault="000A3CE3" w:rsidP="000A3CE3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Ability to apply knowledge and understanding (Dublin 2) </w:t>
      </w:r>
    </w:p>
    <w:p w14:paraId="49E155E5" w14:textId="77777777" w:rsidR="000A3CE3" w:rsidRPr="00982F73" w:rsidRDefault="000A3CE3" w:rsidP="000A3CE3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identify the clinical situations in which physical activity requires the adoption of specific therapeutic measures, and the conditions in which it becomes fundamental in terms of prevention and/or therapeutic help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4A91971" w14:textId="77777777" w:rsidR="000A3CE3" w:rsidRPr="00982F73" w:rsidRDefault="000A3CE3" w:rsidP="000A3CE3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Making independent judgements (Dublin 3) </w:t>
      </w:r>
    </w:p>
    <w:p w14:paraId="4641E96E" w14:textId="77777777" w:rsidR="000A3CE3" w:rsidRPr="00982F73" w:rsidRDefault="000A3CE3" w:rsidP="000A3CE3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propose new and customised physical activity procedures and protocols addressed to specific endocrine pathologies, aimed to prevent the pathologies and the risks related to overtraining and doping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A4F195" w14:textId="77777777" w:rsidR="000A3CE3" w:rsidRPr="00982F73" w:rsidRDefault="000A3CE3" w:rsidP="000A3CE3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Communication skills (Dublin 4) </w:t>
      </w:r>
    </w:p>
    <w:p w14:paraId="77D4CC0C" w14:textId="77777777" w:rsidR="000A3CE3" w:rsidRPr="00982F73" w:rsidRDefault="000A3CE3" w:rsidP="000A3CE3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communicate information, ideas, problems, and solutions to different kind of audiences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9A4F048" w14:textId="77777777" w:rsidR="000A3CE3" w:rsidRPr="00982F73" w:rsidRDefault="000A3CE3" w:rsidP="000A3CE3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Learning skills (Dublin 5)</w:t>
      </w:r>
    </w:p>
    <w:p w14:paraId="07A2C0D1" w14:textId="77777777" w:rsidR="000A3CE3" w:rsidRPr="00982F73" w:rsidRDefault="000A3CE3" w:rsidP="000A3CE3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develop their knowledge of the topics explained during the course,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pursue their studies in this field with a high degree of autonomy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9CBD06B" w14:textId="77777777" w:rsidR="000A3CE3" w:rsidRPr="00982F73" w:rsidRDefault="000A3CE3" w:rsidP="000A3CE3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CONTENT</w:t>
      </w:r>
    </w:p>
    <w:p w14:paraId="6B075F14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General principles of endocrinology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and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hAnsi="Times New Roman" w:cs="Times New Roman"/>
          <w:sz w:val="20"/>
          <w:szCs w:val="20"/>
          <w:lang w:val="en-GB"/>
        </w:rPr>
        <w:t>Hormone secretion and activity</w:t>
      </w:r>
    </w:p>
    <w:p w14:paraId="14D763AD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sz w:val="20"/>
          <w:szCs w:val="20"/>
          <w:lang w:val="en-US"/>
        </w:rPr>
        <w:t>Diabetes m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34E5">
        <w:rPr>
          <w:rFonts w:ascii="Times New Roman" w:hAnsi="Times New Roman" w:cs="Times New Roman"/>
          <w:sz w:val="20"/>
          <w:szCs w:val="20"/>
          <w:lang w:val="en-US"/>
        </w:rPr>
        <w:t xml:space="preserve">llitus (epidemiology, pathogenesis, </w:t>
      </w:r>
      <w:proofErr w:type="gramStart"/>
      <w:r w:rsidRPr="006634E5">
        <w:rPr>
          <w:rFonts w:ascii="Times New Roman" w:hAnsi="Times New Roman" w:cs="Times New Roman"/>
          <w:sz w:val="20"/>
          <w:szCs w:val="20"/>
          <w:lang w:val="en-US"/>
        </w:rPr>
        <w:t>diagnosis</w:t>
      </w:r>
      <w:proofErr w:type="gramEnd"/>
      <w:r w:rsidRPr="006634E5">
        <w:rPr>
          <w:rFonts w:ascii="Times New Roman" w:hAnsi="Times New Roman" w:cs="Times New Roman"/>
          <w:sz w:val="20"/>
          <w:szCs w:val="20"/>
          <w:lang w:val="en-US"/>
        </w:rPr>
        <w:t xml:space="preserve"> and th</w:t>
      </w:r>
      <w:r>
        <w:rPr>
          <w:rFonts w:ascii="Times New Roman" w:hAnsi="Times New Roman" w:cs="Times New Roman"/>
          <w:sz w:val="20"/>
          <w:szCs w:val="20"/>
          <w:lang w:val="en-US"/>
        </w:rPr>
        <w:t>erapy)</w:t>
      </w:r>
    </w:p>
    <w:p w14:paraId="26179C6C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Role of physical activity in the prevention and treatment of diabetes mellitus</w:t>
      </w:r>
    </w:p>
    <w:p w14:paraId="72D89407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Indication and management of physical activity in patients with type 1 diabetes</w:t>
      </w:r>
    </w:p>
    <w:p w14:paraId="79B3C49B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Management of acute complications of diabetes before/during and after physical activity</w:t>
      </w:r>
    </w:p>
    <w:p w14:paraId="008A5617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Obesity, adipose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organ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metabolic syndrome</w:t>
      </w:r>
    </w:p>
    <w:p w14:paraId="5615537F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Effect of physical activity on the adipose organ</w:t>
      </w:r>
    </w:p>
    <w:p w14:paraId="0B311040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new </w:t>
      </w:r>
      <w:proofErr w:type="spellStart"/>
      <w:r w:rsidRPr="006634E5">
        <w:rPr>
          <w:rFonts w:ascii="Times New Roman" w:hAnsi="Times New Roman" w:cs="Times New Roman"/>
          <w:iCs/>
          <w:sz w:val="20"/>
          <w:szCs w:val="20"/>
          <w:lang w:val="en-US"/>
        </w:rPr>
        <w:t>ormone</w:t>
      </w:r>
      <w:proofErr w:type="spellEnd"/>
      <w:r w:rsidRPr="006634E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of physical activity: Irisin</w:t>
      </w:r>
    </w:p>
    <w:p w14:paraId="74490F69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iCs/>
          <w:sz w:val="20"/>
          <w:szCs w:val="20"/>
          <w:lang w:val="en-US"/>
        </w:rPr>
        <w:t>Thyroid disorders (thyroiditis, hypothyroidism, hyperthyroidism and thyrotoxicosis, thyroid nodules, thyroid tumors)</w:t>
      </w:r>
    </w:p>
    <w:p w14:paraId="31E116C6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iCs/>
          <w:sz w:val="20"/>
          <w:szCs w:val="20"/>
          <w:lang w:val="en-US"/>
        </w:rPr>
        <w:t>Adrenal gland disorders (</w:t>
      </w:r>
      <w:r w:rsidRPr="006634E5">
        <w:rPr>
          <w:rFonts w:ascii="Times New Roman" w:hAnsi="Times New Roman" w:cs="Times New Roman"/>
          <w:b/>
          <w:iCs/>
          <w:sz w:val="18"/>
          <w:lang w:val="en-GB"/>
        </w:rPr>
        <w:t>(Cushing's syndrome, hypoadrenalism, endocrine hypertension)</w:t>
      </w:r>
    </w:p>
    <w:p w14:paraId="23336580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b/>
          <w:iCs/>
          <w:sz w:val="18"/>
          <w:lang w:val="en-GB"/>
        </w:rPr>
        <w:t>Parathyroid and bone disorders (hypoparathyroidism, hyperparathyroidism, osteoporosis)</w:t>
      </w:r>
    </w:p>
    <w:p w14:paraId="05C9A27D" w14:textId="77777777" w:rsidR="000A3CE3" w:rsidRPr="006634E5" w:rsidRDefault="000A3CE3" w:rsidP="000A3CE3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634E5">
        <w:rPr>
          <w:rFonts w:ascii="Times New Roman" w:hAnsi="Times New Roman" w:cs="Times New Roman"/>
          <w:b/>
          <w:iCs/>
          <w:sz w:val="18"/>
          <w:lang w:val="en-GB"/>
        </w:rPr>
        <w:t>Hyperandrogenism and hormonal doping.</w:t>
      </w:r>
    </w:p>
    <w:p w14:paraId="236B57B9" w14:textId="77777777" w:rsidR="000A3CE3" w:rsidRPr="00982F73" w:rsidRDefault="000A3CE3" w:rsidP="000A3CE3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READING LIST</w:t>
      </w:r>
    </w:p>
    <w:p w14:paraId="68112487" w14:textId="77777777" w:rsidR="000A3CE3" w:rsidRPr="0068493E" w:rsidRDefault="000A3CE3" w:rsidP="000A3CE3">
      <w:pPr>
        <w:pStyle w:val="Testo1"/>
        <w:spacing w:before="0" w:line="240" w:lineRule="atLeast"/>
        <w:rPr>
          <w:spacing w:val="-5"/>
        </w:rPr>
      </w:pPr>
      <w:r w:rsidRPr="00EA5A53">
        <w:rPr>
          <w:smallCaps/>
          <w:spacing w:val="-5"/>
          <w:sz w:val="16"/>
        </w:rPr>
        <w:t>A. Lenzi-G. Lombardi-E. Martino-F. Trimarchi,</w:t>
      </w:r>
      <w:r w:rsidRPr="00EA5A53">
        <w:rPr>
          <w:i/>
          <w:spacing w:val="-5"/>
        </w:rPr>
        <w:t xml:space="preserve"> Endocrinologia e attività motorie,</w:t>
      </w:r>
      <w:r w:rsidRPr="00EA5A53">
        <w:rPr>
          <w:spacing w:val="-5"/>
        </w:rPr>
        <w:t xml:space="preserve"> Ed. </w:t>
      </w:r>
      <w:r w:rsidRPr="0068493E">
        <w:rPr>
          <w:spacing w:val="-5"/>
        </w:rPr>
        <w:t>Elsevier Masson, Milan, 2008.</w:t>
      </w:r>
    </w:p>
    <w:p w14:paraId="1C56082F" w14:textId="67593DA5" w:rsidR="000A3CE3" w:rsidRPr="0068493E" w:rsidRDefault="000A3CE3" w:rsidP="000A3CE3">
      <w:pPr>
        <w:pStyle w:val="Testo1"/>
        <w:spacing w:before="0" w:line="240" w:lineRule="atLeast"/>
        <w:rPr>
          <w:spacing w:val="-5"/>
        </w:rPr>
      </w:pPr>
      <w:r w:rsidRPr="000A3CE3">
        <w:rPr>
          <w:i/>
          <w:iCs/>
          <w:smallCaps/>
          <w:spacing w:val="-5"/>
          <w:sz w:val="16"/>
          <w:lang w:val="en-US"/>
        </w:rPr>
        <w:t xml:space="preserve">B. </w:t>
      </w:r>
      <w:r w:rsidRPr="000A3CE3">
        <w:rPr>
          <w:bCs/>
          <w:i/>
          <w:iCs/>
          <w:spacing w:val="-5"/>
          <w:lang/>
        </w:rPr>
        <w:t>Diabetes Complications, Comorbidities and Related Disorders.</w:t>
      </w:r>
      <w:r w:rsidRPr="0068493E">
        <w:rPr>
          <w:bCs/>
          <w:spacing w:val="-5"/>
          <w:lang/>
        </w:rPr>
        <w:t xml:space="preserve"> Cham, Switzerland:Springer nature, doi: 10.1007/978-3-319-27316-7_18-1</w:t>
      </w:r>
      <w:r w:rsidRPr="0068493E">
        <w:rPr>
          <w:b/>
          <w:spacing w:val="-5"/>
          <w:lang/>
        </w:rPr>
        <w:t xml:space="preserve"> </w:t>
      </w:r>
    </w:p>
    <w:p w14:paraId="2B84B83C" w14:textId="77777777" w:rsidR="000A3CE3" w:rsidRPr="0068493E" w:rsidRDefault="000A3CE3" w:rsidP="000A3CE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68493E">
        <w:rPr>
          <w:rFonts w:ascii="Times New Roman" w:hAnsi="Times New Roman" w:cs="Times New Roman"/>
          <w:b/>
          <w:i/>
          <w:sz w:val="18"/>
        </w:rPr>
        <w:t>TEACHING METHOD</w:t>
      </w:r>
    </w:p>
    <w:p w14:paraId="1D9CA260" w14:textId="77777777" w:rsidR="000A3CE3" w:rsidRPr="00982F73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Knowledge and understanding (Dublin 1)</w:t>
      </w:r>
    </w:p>
    <w:p w14:paraId="1D0E08C8" w14:textId="77777777" w:rsidR="000A3CE3" w:rsidRPr="00982F73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Frontal lectures, based on the presentation of the topics listed in the course content, and aimed to help students develop the knowledge and understanding skills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mentioned above (through the presentation of interactive clinical case scenarios and slides).</w:t>
      </w:r>
    </w:p>
    <w:p w14:paraId="3E739435" w14:textId="77777777" w:rsidR="000A3CE3" w:rsidRPr="00982F73" w:rsidRDefault="000A3CE3" w:rsidP="000A3CE3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Ability to apply knowledge and understanding (Dublin 2)</w:t>
      </w:r>
      <w:r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73098DE4" w14:textId="77777777" w:rsidR="000A3CE3" w:rsidRPr="004C5AA5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presentation of a wide selection of practical examples will give students the opportunity to apply their newly acquired knowledge and understanding skills in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specific and concrete situations</w:t>
      </w:r>
    </w:p>
    <w:p w14:paraId="50955F76" w14:textId="77777777" w:rsidR="000A3CE3" w:rsidRPr="00982F73" w:rsidRDefault="000A3CE3" w:rsidP="000A3CE3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Making independent judgements (Dublin 3)</w:t>
      </w:r>
    </w:p>
    <w:p w14:paraId="0D7C009F" w14:textId="77777777" w:rsidR="000A3CE3" w:rsidRPr="004C5AA5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During the lectures, students will receive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further information on the protocols mentioned in the course aims, and they will be invited to carry out a personal in-depth analysis of the topics explained in class</w:t>
      </w:r>
    </w:p>
    <w:p w14:paraId="69308390" w14:textId="77777777" w:rsidR="000A3CE3" w:rsidRPr="004C5AA5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</w:t>
      </w:r>
    </w:p>
    <w:p w14:paraId="0534272C" w14:textId="77777777" w:rsidR="000A3CE3" w:rsidRPr="00982F73" w:rsidRDefault="000A3CE3" w:rsidP="000A3CE3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lastRenderedPageBreak/>
        <w:t>Communication skills (Dublin 4)</w:t>
      </w:r>
      <w:r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CCF8020" w14:textId="77777777" w:rsidR="000A3CE3" w:rsidRPr="004C5AA5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Thanks to this teaching method, students will be able to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acquire</w:t>
      </w: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an appropriate terminology through the discussion of specific case studies.</w:t>
      </w:r>
    </w:p>
    <w:p w14:paraId="7F732DDA" w14:textId="77777777" w:rsidR="000A3CE3" w:rsidRPr="00982F73" w:rsidRDefault="000A3CE3" w:rsidP="000A3CE3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Learning skills (Dublin 5):</w:t>
      </w:r>
      <w:r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00B3096C" w14:textId="77777777" w:rsidR="000A3CE3" w:rsidRPr="00E6799E" w:rsidRDefault="000A3CE3" w:rsidP="000A3CE3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critical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and ‘problem-oriented’ </w:t>
      </w: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approach towards the different t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opics explained in class will help students develop their independent judgment and learning skills, which are fundamental to pursue their studies in this field</w:t>
      </w: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6F7D2635" w14:textId="77777777" w:rsidR="000A3CE3" w:rsidRPr="00982F73" w:rsidRDefault="000A3CE3" w:rsidP="000A3CE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2F2FC561" w14:textId="77777777" w:rsidR="000A3CE3" w:rsidRPr="00982F73" w:rsidRDefault="000A3CE3" w:rsidP="000A3CE3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noProof/>
          <w:sz w:val="18"/>
          <w:szCs w:val="20"/>
          <w:lang w:val="en-GB"/>
        </w:rPr>
        <w:t xml:space="preserve">Multiple-choice quiz and/or oral exam on the course content. </w:t>
      </w:r>
      <w:r>
        <w:rPr>
          <w:rFonts w:ascii="Times" w:eastAsia="Times New Roman" w:hAnsi="Times" w:cs="Times New Roman"/>
          <w:noProof/>
          <w:sz w:val="18"/>
          <w:szCs w:val="20"/>
          <w:lang w:val="en-GB"/>
        </w:rPr>
        <w:t>The final mark, expressed in thirtieths, will result from the average between the two modules. In order to pass the final exam, students will have to follow the official procedure</w:t>
      </w:r>
      <w:r w:rsidRPr="00982F73">
        <w:rPr>
          <w:rFonts w:ascii="Times" w:eastAsia="Times New Roman" w:hAnsi="Times" w:cs="Times New Roman"/>
          <w:noProof/>
          <w:sz w:val="18"/>
          <w:szCs w:val="20"/>
          <w:lang w:val="en-GB"/>
        </w:rPr>
        <w:t>.</w:t>
      </w:r>
    </w:p>
    <w:p w14:paraId="56B3DE7F" w14:textId="77777777" w:rsidR="000A3CE3" w:rsidRPr="00982F73" w:rsidRDefault="000A3CE3" w:rsidP="000A3CE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4D6B9A2F" w14:textId="77777777" w:rsidR="000A3CE3" w:rsidRPr="00E6799E" w:rsidRDefault="000A3CE3" w:rsidP="000A3CE3">
      <w:pPr>
        <w:pStyle w:val="Testo2"/>
        <w:rPr>
          <w:lang w:val="en-GB"/>
        </w:rPr>
      </w:pPr>
      <w:r w:rsidRPr="00E6799E">
        <w:rPr>
          <w:lang w:val="en-GB"/>
        </w:rPr>
        <w:t xml:space="preserve">Students should have a good knowledge of </w:t>
      </w:r>
      <w:r>
        <w:rPr>
          <w:lang w:val="en-GB"/>
        </w:rPr>
        <w:t xml:space="preserve">the key concepts of biochemistry and </w:t>
      </w:r>
      <w:r w:rsidRPr="00E6799E">
        <w:rPr>
          <w:lang w:val="en-GB"/>
        </w:rPr>
        <w:t>the anatomy and physiology of the endocrine system</w:t>
      </w:r>
    </w:p>
    <w:p w14:paraId="3406D411" w14:textId="77777777" w:rsidR="000A3CE3" w:rsidRPr="00E6799E" w:rsidRDefault="000A3CE3" w:rsidP="000A3CE3">
      <w:pPr>
        <w:pStyle w:val="Testo2"/>
        <w:rPr>
          <w:lang w:val="en-GB"/>
        </w:rPr>
      </w:pPr>
    </w:p>
    <w:p w14:paraId="05026599" w14:textId="77777777" w:rsidR="000A3CE3" w:rsidRPr="00982F73" w:rsidRDefault="000A3CE3" w:rsidP="000A3CE3">
      <w:pPr>
        <w:pStyle w:val="Testo2"/>
        <w:rPr>
          <w:lang w:val="en-GB"/>
        </w:rPr>
      </w:pPr>
      <w:r w:rsidRPr="00982F73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2822E66C" w14:textId="77777777" w:rsidR="00EC43C3" w:rsidRPr="00982F73" w:rsidRDefault="00EC43C3" w:rsidP="00EC43C3">
      <w:pPr>
        <w:pStyle w:val="Titolo2"/>
        <w:spacing w:before="240"/>
        <w:rPr>
          <w:lang w:val="en-GB"/>
        </w:rPr>
      </w:pPr>
      <w:r w:rsidRPr="00982F73">
        <w:rPr>
          <w:lang w:val="en-GB"/>
        </w:rPr>
        <w:t>M</w:t>
      </w:r>
      <w:r w:rsidR="00982F73" w:rsidRPr="00982F73">
        <w:rPr>
          <w:lang w:val="en-GB"/>
        </w:rPr>
        <w:t>odule 2</w:t>
      </w:r>
      <w:r w:rsidRPr="00982F73">
        <w:rPr>
          <w:lang w:val="en-GB"/>
        </w:rPr>
        <w:t xml:space="preserve">: </w:t>
      </w:r>
      <w:r w:rsidR="00982F73" w:rsidRPr="00982F73">
        <w:rPr>
          <w:rFonts w:ascii="Times New Roman" w:eastAsiaTheme="minorEastAsia" w:hAnsi="Times New Roman"/>
          <w:i/>
          <w:smallCaps w:val="0"/>
          <w:noProof w:val="0"/>
          <w:sz w:val="20"/>
          <w:lang w:val="en-GB"/>
        </w:rPr>
        <w:t>Human nutrition</w:t>
      </w:r>
      <w:r w:rsidRPr="00982F73">
        <w:rPr>
          <w:rFonts w:ascii="Times New Roman" w:eastAsiaTheme="minorEastAsia" w:hAnsi="Times New Roman"/>
          <w:smallCaps w:val="0"/>
          <w:noProof w:val="0"/>
          <w:sz w:val="20"/>
          <w:lang w:val="en-GB"/>
        </w:rPr>
        <w:t xml:space="preserve"> (Prof. Giacinto Miggiano)</w:t>
      </w:r>
    </w:p>
    <w:p w14:paraId="5DEE829E" w14:textId="77777777" w:rsidR="00EC43C3" w:rsidRPr="00982F73" w:rsidRDefault="00982F7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AIMS AND INTENDED LEARNING OUTCOMES</w:t>
      </w:r>
    </w:p>
    <w:p w14:paraId="2215C8E2" w14:textId="77777777" w:rsidR="00452F08" w:rsidRPr="00982F73" w:rsidRDefault="00982F73" w:rsidP="00452F08">
      <w:pPr>
        <w:spacing w:before="240"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The course aims to</w:t>
      </w:r>
      <w:r w:rsidR="00E6799E">
        <w:rPr>
          <w:rFonts w:ascii="Times New Roman" w:hAnsi="Times New Roman" w:cs="Times New Roman"/>
          <w:sz w:val="20"/>
          <w:szCs w:val="20"/>
          <w:lang w:val="en-GB"/>
        </w:rPr>
        <w:t xml:space="preserve"> explore the key concepts of nutrition, and the different forms of dietary-nutritional intervention addressed to normal subjects and people who practice sports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38C845A4" w14:textId="77777777" w:rsidR="00452F08" w:rsidRPr="00982F73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Know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ledge and understanding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1) </w:t>
      </w:r>
    </w:p>
    <w:p w14:paraId="76247F9D" w14:textId="77777777" w:rsidR="00452F08" w:rsidRPr="00982F73" w:rsidRDefault="00982F73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E6799E">
        <w:rPr>
          <w:rFonts w:ascii="Times New Roman" w:hAnsi="Times New Roman" w:cs="Times New Roman"/>
          <w:sz w:val="20"/>
          <w:szCs w:val="20"/>
          <w:lang w:val="en-GB"/>
        </w:rPr>
        <w:t xml:space="preserve"> understand the ways in which the human body uses nutrients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and other bioactive compounds, with a focus on metabolism, growth, the development and functions of the organism, and individual well-being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1409E79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Ability to apply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knowledge and understanding (Dublin 2) </w:t>
      </w:r>
    </w:p>
    <w:p w14:paraId="570C6C49" w14:textId="77777777" w:rsidR="00452F08" w:rsidRPr="00982F73" w:rsidRDefault="00982F73" w:rsidP="00D64A8E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adopt strategies aimed to improve the quality of life and promote health; in addition, they will be able to manage the most common nutritional issues and requests related to physical activity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12A30EC1" w14:textId="77777777" w:rsidR="00452F08" w:rsidRPr="00982F73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Making 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independent judgements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3) </w:t>
      </w:r>
    </w:p>
    <w:p w14:paraId="1479BA9D" w14:textId="77777777" w:rsidR="00452F08" w:rsidRPr="00982F73" w:rsidRDefault="00982F73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lastRenderedPageBreak/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make independent judgments on the different dietary-nutritional intervention strategies addressed to normal subjects and/or people in specific conditions (before, during, and after physical activity)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CF8CADD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Communication skills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4) </w:t>
      </w:r>
    </w:p>
    <w:p w14:paraId="0F8B521C" w14:textId="77777777" w:rsidR="00452F08" w:rsidRPr="00982F73" w:rsidRDefault="00982F73" w:rsidP="00D64A8E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communicate information, ideas, problems, and solutions to different kind of audiences</w:t>
      </w:r>
    </w:p>
    <w:p w14:paraId="6ED9BD22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Learning skills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5)</w:t>
      </w:r>
    </w:p>
    <w:p w14:paraId="3239ADB3" w14:textId="77777777" w:rsidR="00452F08" w:rsidRPr="00982F73" w:rsidRDefault="00982F73" w:rsidP="00B23950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develop their knowledge of the topics explained during the course, in order to pursue their studies in this field with a high degree of autonomy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9C978AD" w14:textId="77777777" w:rsidR="00EC43C3" w:rsidRPr="00982F73" w:rsidRDefault="00982F7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CONENT</w:t>
      </w:r>
    </w:p>
    <w:p w14:paraId="71277E14" w14:textId="77777777" w:rsidR="00086D40" w:rsidRPr="00B23950" w:rsidRDefault="00B2395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950">
        <w:rPr>
          <w:rFonts w:ascii="Times New Roman" w:hAnsi="Times New Roman" w:cs="Times New Roman"/>
          <w:i/>
          <w:sz w:val="20"/>
          <w:szCs w:val="20"/>
          <w:lang w:val="en-GB"/>
        </w:rPr>
        <w:t>Basic and Applied Human Nutrition</w:t>
      </w:r>
    </w:p>
    <w:p w14:paraId="131CC16D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Nutrients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at the basis of life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1352553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meaning of feeding, nutrition, and dietetics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EE5B9DD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concept of balance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E1855E2" w14:textId="77777777" w:rsidR="00086D40" w:rsidRPr="00EA5A5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introduction, deposit, and excretion of nutrients</w:t>
      </w:r>
      <w:r w:rsidRPr="00EA5A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6A3B005" w14:textId="77777777" w:rsidR="00086D40" w:rsidRPr="002140C6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2140C6">
        <w:rPr>
          <w:rFonts w:ascii="Times New Roman" w:hAnsi="Times New Roman" w:cs="Times New Roman"/>
          <w:sz w:val="20"/>
          <w:szCs w:val="20"/>
          <w:lang w:val="en-GB"/>
        </w:rPr>
        <w:t>1.3.1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140C6" w:rsidRPr="002140C6">
        <w:rPr>
          <w:rFonts w:ascii="Times New Roman" w:hAnsi="Times New Roman" w:cs="Times New Roman"/>
          <w:sz w:val="20"/>
          <w:szCs w:val="20"/>
          <w:lang w:val="en-GB"/>
        </w:rPr>
        <w:t>The sources of food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2140C6" w:rsidRPr="002140C6">
        <w:rPr>
          <w:rFonts w:ascii="Times New Roman" w:hAnsi="Times New Roman" w:cs="Times New Roman"/>
          <w:sz w:val="20"/>
          <w:szCs w:val="20"/>
          <w:lang w:val="en-GB"/>
        </w:rPr>
        <w:t>Food groups and composition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0A47F64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Nutrients and energy balance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 Carbo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hydrates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fats, and proteins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1B7F56B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An introduction to protein, carbohydrate, and fat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The metabolic adaptation to fasting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4EFEC2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  <w:t>Et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hanol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from metabolite to toxic element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690401B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1.5.1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Hydrosaline metabolism (sodium, potassium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 xml:space="preserve"> and chlorine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36F8074D" w14:textId="77777777" w:rsidR="00086D40" w:rsidRPr="00982F73" w:rsidRDefault="00C535E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1.5.2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Macrominerals (calcium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phosphorus, magnesium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sulphur). Functions and metabolism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43CF75A" w14:textId="77777777" w:rsidR="00086D40" w:rsidRPr="00982F73" w:rsidRDefault="00C535E2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1.5.3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Microminerals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GB"/>
        </w:rPr>
        <w:t>iron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copper, zinc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iodine). Oligominerals (selenium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Functions and metabolism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1EA247F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1.6.1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Water-soluble vitamins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the vitamin B-complex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: B1, B2, B3, B5, B8, B9 o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r folic acid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B12, 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 xml:space="preserve">and vitamin 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C).</w:t>
      </w:r>
    </w:p>
    <w:p w14:paraId="5E86C5B8" w14:textId="103145C4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1.6.2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Fat-soluble vitamins (vitamin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A, D, E,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 xml:space="preserve"> and K). Structure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 fu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nctions, and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735C1CC6" w14:textId="45EF1E73" w:rsidR="00086D40" w:rsidRPr="00982F73" w:rsidRDefault="00742ED2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1.6.3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Vitamin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F (</w:t>
      </w:r>
      <w:r>
        <w:rPr>
          <w:rFonts w:ascii="Times New Roman" w:hAnsi="Times New Roman" w:cs="Times New Roman"/>
          <w:sz w:val="20"/>
          <w:szCs w:val="20"/>
          <w:lang w:val="en-GB"/>
        </w:rPr>
        <w:t>essential fatty acids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linoleic acid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and arachidonic acid). Eicosanoids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2FC8DE94" w14:textId="77777777" w:rsidR="00086D40" w:rsidRPr="00982F73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480F96FA" w14:textId="77777777" w:rsidR="00086D40" w:rsidRPr="00982F73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42ED2">
        <w:rPr>
          <w:rFonts w:ascii="Times New Roman" w:hAnsi="Times New Roman" w:cs="Times New Roman"/>
          <w:i/>
          <w:sz w:val="20"/>
          <w:szCs w:val="20"/>
          <w:lang w:val="en-GB"/>
        </w:rPr>
        <w:t>Healthy Nutrition</w:t>
      </w: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191FCC0A" w14:textId="77777777" w:rsidR="00086D40" w:rsidRPr="00982F73" w:rsidRDefault="00742ED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2.1.1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Nutrients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and health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3E35F97" w14:textId="77777777" w:rsidR="00086D40" w:rsidRPr="00982F73" w:rsidRDefault="00742ED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2.1.2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Nutraceutics: useful molecu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le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for life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4D71A64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2.1.3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Pharma food or functional food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useful for health promotion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B1C55F3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2.2.1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Food safety and security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91A5393" w14:textId="77777777" w:rsidR="00086D40" w:rsidRPr="00982F73" w:rsidRDefault="00001B0C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2.3.1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Epidemiology of nutrition diseases in Italy and in the rest of the world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204F176" w14:textId="77777777" w:rsidR="00086D40" w:rsidRPr="00982F73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EA5A53">
        <w:rPr>
          <w:rFonts w:ascii="Times New Roman" w:hAnsi="Times New Roman" w:cs="Times New Roman"/>
          <w:sz w:val="20"/>
          <w:szCs w:val="20"/>
          <w:lang w:val="fr-FR"/>
        </w:rPr>
        <w:lastRenderedPageBreak/>
        <w:t>2.4.1</w:t>
      </w:r>
      <w:r w:rsidRPr="00EA5A53">
        <w:rPr>
          <w:rFonts w:ascii="Times New Roman" w:hAnsi="Times New Roman" w:cs="Times New Roman"/>
          <w:sz w:val="20"/>
          <w:szCs w:val="20"/>
          <w:lang w:val="fr-FR"/>
        </w:rPr>
        <w:tab/>
      </w:r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 xml:space="preserve">Calorie and </w:t>
      </w:r>
      <w:proofErr w:type="spellStart"/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>protein</w:t>
      </w:r>
      <w:proofErr w:type="spellEnd"/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 xml:space="preserve">-calorie malnutrition.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Obesity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The world of weight loss diets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2B02B83" w14:textId="77777777" w:rsidR="00086D40" w:rsidRPr="00982F73" w:rsidRDefault="00AC642A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</w:t>
      </w:r>
      <w:r w:rsidR="00001B0C">
        <w:rPr>
          <w:rFonts w:ascii="Times New Roman" w:hAnsi="Times New Roman" w:cs="Times New Roman"/>
          <w:i/>
          <w:sz w:val="20"/>
          <w:szCs w:val="20"/>
          <w:lang w:val="en-GB"/>
        </w:rPr>
        <w:t>Sport Nutrition</w:t>
      </w:r>
    </w:p>
    <w:p w14:paraId="5B820CCA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Nutrients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at the basis of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731972C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Energy for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Measuring energy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Physical activity energy expenditure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4813B24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1.3.1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Body composition (definition; explanation of the different ways to determine it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5CC6AAD8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1.3.2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Body composition and health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between a correct nutrition and a regular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C950758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Nutritional strategies for sport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before-during-after the performance/training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0C47A3DF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Nutritional strategies to reach the right body composition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36660E1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Dietary-nutritional strategies in particular conditions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e.g. hormonal imbalance, menopause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vegetarian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799F5A6C" w14:textId="77777777" w:rsidR="00EC43C3" w:rsidRPr="00EA5A53" w:rsidRDefault="00982F7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A5A53">
        <w:rPr>
          <w:rFonts w:ascii="Times New Roman" w:hAnsi="Times New Roman" w:cs="Times New Roman"/>
          <w:b/>
          <w:i/>
          <w:sz w:val="18"/>
        </w:rPr>
        <w:t>READING LIST</w:t>
      </w:r>
    </w:p>
    <w:p w14:paraId="715CD465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nsiero Scientifico Editore,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2020</w:t>
      </w:r>
    </w:p>
    <w:p w14:paraId="114D2DF1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nsiero Scientifico Editore,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2017.</w:t>
      </w:r>
    </w:p>
    <w:p w14:paraId="58E824C8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ocietà Editrice Universo,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2016.</w:t>
      </w:r>
    </w:p>
    <w:p w14:paraId="5CD7E944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 xml:space="preserve"> Società Editrice Universo,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2002.</w:t>
      </w:r>
    </w:p>
    <w:p w14:paraId="621CC306" w14:textId="77777777" w:rsidR="00EC43C3" w:rsidRPr="00982F73" w:rsidRDefault="00982F7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0472978C" w14:textId="77777777" w:rsidR="00AC642A" w:rsidRPr="00982F73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Know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1)</w:t>
      </w:r>
    </w:p>
    <w:p w14:paraId="3B2C8B95" w14:textId="77777777" w:rsidR="00AC642A" w:rsidRPr="00982F73" w:rsidRDefault="0023491D" w:rsidP="0023491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Frontal lectures, based on the presentation of the topics listed in the course content, and aimed to help students develop the knowledge and understanding skills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mentioned above (through the presentation of interactive clinical case scenarios and slides).</w:t>
      </w:r>
    </w:p>
    <w:p w14:paraId="36F3B609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Ability to apply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know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2)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E9B481E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presentation of a wide selection of practical examples will give students the opportunity to apply their newly acquired knowledge and understanding skills in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specific and concrete situations</w:t>
      </w:r>
    </w:p>
    <w:p w14:paraId="662A805C" w14:textId="77777777" w:rsidR="00AC642A" w:rsidRPr="00982F73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Making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independent judgements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3)</w:t>
      </w:r>
    </w:p>
    <w:p w14:paraId="078B44FB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During the lectures, students will receive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further information on the protocols mentioned in the course aims, and they will be invited to carry out a personal in-depth analysis of the topics explained in class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</w:t>
      </w:r>
    </w:p>
    <w:p w14:paraId="04E218D2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Communication skills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4)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70DED646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lastRenderedPageBreak/>
        <w:t xml:space="preserve">Thanks to this teaching method, students will be able to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acquire</w:t>
      </w: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an appropriate terminology through the discussion of specific case studies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2FCF3F28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Learning skills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5):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CB6A198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critical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and ‘problem-oriented’ </w:t>
      </w: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approach towards the different t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opics explained in class will help students develop their independent judgment and learning skills, which are fundamental to pursue their studies in this field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456229AC" w14:textId="77777777" w:rsidR="00EC43C3" w:rsidRPr="00982F73" w:rsidRDefault="00982F7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61E58313" w14:textId="77777777" w:rsidR="00EC43C3" w:rsidRPr="00982F73" w:rsidRDefault="0023491D" w:rsidP="00E9482C">
      <w:pPr>
        <w:pStyle w:val="Testo2"/>
        <w:rPr>
          <w:lang w:val="en-GB"/>
        </w:rPr>
      </w:pPr>
      <w:r w:rsidRPr="00E6799E">
        <w:rPr>
          <w:lang w:val="en-GB"/>
        </w:rPr>
        <w:t>Multiple-choice quiz</w:t>
      </w:r>
      <w:r w:rsidR="00E9482C">
        <w:rPr>
          <w:lang w:val="en-GB"/>
        </w:rPr>
        <w:t>, based on the course content, that may be replaced or followed by additional written/oral tests, if necessary. In order to pass the final exam, students will have to follow the official procedure</w:t>
      </w:r>
      <w:r w:rsidR="00EC43C3" w:rsidRPr="00982F73">
        <w:rPr>
          <w:lang w:val="en-GB"/>
        </w:rPr>
        <w:t>.</w:t>
      </w:r>
    </w:p>
    <w:p w14:paraId="3CE256B4" w14:textId="77777777" w:rsidR="00EC43C3" w:rsidRPr="00982F73" w:rsidRDefault="00982F7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3A614F64" w14:textId="659EC612" w:rsidR="00086D40" w:rsidRPr="00982F73" w:rsidRDefault="00982F73" w:rsidP="000A3CE3">
      <w:pPr>
        <w:pStyle w:val="Testo2"/>
        <w:rPr>
          <w:lang w:val="en-GB"/>
        </w:rPr>
      </w:pPr>
      <w:r w:rsidRPr="00982F73">
        <w:rPr>
          <w:rFonts w:eastAsia="Arial Unicode MS"/>
          <w:lang w:val="en-GB"/>
        </w:rPr>
        <w:t>Further information can be found on the lecturer's webpage at http://docenti.unicatt.it/web/searchByName.do?language=ENG or on the Faculty notice board.</w:t>
      </w:r>
    </w:p>
    <w:sectPr w:rsidR="00086D40" w:rsidRPr="00982F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 w15:restartNumberingAfterBreak="0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E55"/>
    <w:multiLevelType w:val="hybridMultilevel"/>
    <w:tmpl w:val="94F64BD2"/>
    <w:lvl w:ilvl="0" w:tplc="1B6A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6657">
    <w:abstractNumId w:val="4"/>
  </w:num>
  <w:num w:numId="2" w16cid:durableId="308364241">
    <w:abstractNumId w:val="2"/>
  </w:num>
  <w:num w:numId="3" w16cid:durableId="602035353">
    <w:abstractNumId w:val="1"/>
  </w:num>
  <w:num w:numId="4" w16cid:durableId="542719879">
    <w:abstractNumId w:val="5"/>
  </w:num>
  <w:num w:numId="5" w16cid:durableId="803232991">
    <w:abstractNumId w:val="0"/>
  </w:num>
  <w:num w:numId="6" w16cid:durableId="100639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96"/>
    <w:rsid w:val="00001423"/>
    <w:rsid w:val="00001B0C"/>
    <w:rsid w:val="00086D40"/>
    <w:rsid w:val="000A3CE3"/>
    <w:rsid w:val="000D674F"/>
    <w:rsid w:val="00187B99"/>
    <w:rsid w:val="001F378C"/>
    <w:rsid w:val="002014DD"/>
    <w:rsid w:val="002140C6"/>
    <w:rsid w:val="0023491D"/>
    <w:rsid w:val="002D5E17"/>
    <w:rsid w:val="00345646"/>
    <w:rsid w:val="00452F08"/>
    <w:rsid w:val="004C5AA5"/>
    <w:rsid w:val="004D1217"/>
    <w:rsid w:val="004D6008"/>
    <w:rsid w:val="005E5B96"/>
    <w:rsid w:val="00640794"/>
    <w:rsid w:val="006F1772"/>
    <w:rsid w:val="00742ED2"/>
    <w:rsid w:val="0078356E"/>
    <w:rsid w:val="008015C0"/>
    <w:rsid w:val="00846949"/>
    <w:rsid w:val="008942E7"/>
    <w:rsid w:val="008A1204"/>
    <w:rsid w:val="00900CCA"/>
    <w:rsid w:val="00924B77"/>
    <w:rsid w:val="00940DA2"/>
    <w:rsid w:val="00982F73"/>
    <w:rsid w:val="009E055C"/>
    <w:rsid w:val="00A74225"/>
    <w:rsid w:val="00A74F6F"/>
    <w:rsid w:val="00AC642A"/>
    <w:rsid w:val="00AD7557"/>
    <w:rsid w:val="00B23950"/>
    <w:rsid w:val="00B4604B"/>
    <w:rsid w:val="00B50C5D"/>
    <w:rsid w:val="00B51253"/>
    <w:rsid w:val="00B525CC"/>
    <w:rsid w:val="00C42B76"/>
    <w:rsid w:val="00C535E2"/>
    <w:rsid w:val="00D363FF"/>
    <w:rsid w:val="00D404F2"/>
    <w:rsid w:val="00D64A8E"/>
    <w:rsid w:val="00D925C3"/>
    <w:rsid w:val="00E607E6"/>
    <w:rsid w:val="00E6799E"/>
    <w:rsid w:val="00E9482C"/>
    <w:rsid w:val="00EA5A53"/>
    <w:rsid w:val="00EC43C3"/>
    <w:rsid w:val="00F6004B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D897"/>
  <w15:chartTrackingRefBased/>
  <w15:docId w15:val="{32A130F8-AF3B-48FE-B433-08D3DCDF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206A-A337-4D2B-92BB-1E20AFA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6</Pages>
  <Words>1452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2023-05-19T08:09:00Z</dcterms:created>
  <dcterms:modified xsi:type="dcterms:W3CDTF">2023-05-19T08:09:00Z</dcterms:modified>
</cp:coreProperties>
</file>