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D4A7" w14:textId="77777777" w:rsidR="008E3065" w:rsidRPr="002A4555" w:rsidRDefault="008E3065" w:rsidP="008E3065">
      <w:pPr>
        <w:pStyle w:val="Titolo1"/>
        <w:rPr>
          <w:noProof w:val="0"/>
          <w:lang w:val="en-GB"/>
        </w:rPr>
      </w:pPr>
      <w:r w:rsidRPr="00385DCE">
        <w:rPr>
          <w:noProof w:val="0"/>
          <w:lang w:val="en-GB"/>
        </w:rPr>
        <w:t>Philosophy of Law</w:t>
      </w:r>
    </w:p>
    <w:p w14:paraId="27BD8288" w14:textId="586CEDAD" w:rsidR="00385DCE" w:rsidRPr="002A4555" w:rsidRDefault="0011145C" w:rsidP="00385DCE">
      <w:pPr>
        <w:pStyle w:val="Titolo2"/>
        <w:rPr>
          <w:lang w:val="en-GB"/>
        </w:rPr>
      </w:pPr>
      <w:r w:rsidRPr="002A4555">
        <w:rPr>
          <w:lang w:val="en-GB"/>
        </w:rPr>
        <w:t>Prof. Giovanni Bombell</w:t>
      </w:r>
      <w:r w:rsidR="0046535C" w:rsidRPr="002A4555">
        <w:rPr>
          <w:lang w:val="en-GB"/>
        </w:rPr>
        <w:t>i</w:t>
      </w:r>
    </w:p>
    <w:p w14:paraId="39E45CF1" w14:textId="37B0B89D" w:rsidR="0011145C" w:rsidRPr="002A4555" w:rsidRDefault="00385DCE" w:rsidP="0011145C">
      <w:pPr>
        <w:spacing w:before="240" w:after="120"/>
        <w:rPr>
          <w:b/>
          <w:sz w:val="18"/>
          <w:lang w:val="en-GB"/>
        </w:rPr>
      </w:pPr>
      <w:bookmarkStart w:id="0" w:name="_Hlk76557115"/>
      <w:r w:rsidRPr="002A4555">
        <w:rPr>
          <w:b/>
          <w:i/>
          <w:sz w:val="18"/>
          <w:lang w:val="en-GB"/>
        </w:rPr>
        <w:t>COURSE AIMS AND INTENDED LEARNING OUTCOMES</w:t>
      </w:r>
      <w:bookmarkEnd w:id="0"/>
    </w:p>
    <w:p w14:paraId="08CE560E" w14:textId="2EABA113" w:rsidR="0011145C" w:rsidRPr="002A4555" w:rsidRDefault="009C3FD8" w:rsidP="0011145C">
      <w:pPr>
        <w:rPr>
          <w:rFonts w:ascii="Times" w:hAnsi="Times"/>
          <w:szCs w:val="20"/>
          <w:lang w:val="en-GB"/>
        </w:rPr>
      </w:pPr>
      <w:r w:rsidRPr="002A4555">
        <w:rPr>
          <w:rFonts w:ascii="Times" w:hAnsi="Times"/>
          <w:szCs w:val="20"/>
          <w:lang w:val="en-GB"/>
        </w:rPr>
        <w:t xml:space="preserve">The course </w:t>
      </w:r>
      <w:r w:rsidR="00385DCE" w:rsidRPr="002A4555">
        <w:rPr>
          <w:rFonts w:ascii="Times" w:hAnsi="Times"/>
          <w:szCs w:val="20"/>
          <w:lang w:val="en-GB"/>
        </w:rPr>
        <w:t xml:space="preserve">aims </w:t>
      </w:r>
      <w:r w:rsidRPr="002A4555">
        <w:rPr>
          <w:rFonts w:ascii="Times" w:hAnsi="Times"/>
          <w:szCs w:val="20"/>
          <w:lang w:val="en-GB"/>
        </w:rPr>
        <w:t>to allow student</w:t>
      </w:r>
      <w:r w:rsidR="00385DCE" w:rsidRPr="002A4555">
        <w:rPr>
          <w:rFonts w:ascii="Times" w:hAnsi="Times"/>
          <w:szCs w:val="20"/>
          <w:lang w:val="en-GB"/>
        </w:rPr>
        <w:t>s</w:t>
      </w:r>
      <w:r w:rsidRPr="002A4555">
        <w:rPr>
          <w:rFonts w:ascii="Times" w:hAnsi="Times"/>
          <w:szCs w:val="20"/>
          <w:lang w:val="en-GB"/>
        </w:rPr>
        <w:t xml:space="preserve"> to </w:t>
      </w:r>
      <w:r w:rsidR="00385DCE" w:rsidRPr="002A4555">
        <w:rPr>
          <w:rFonts w:ascii="Times" w:hAnsi="Times"/>
          <w:szCs w:val="20"/>
          <w:lang w:val="en-GB"/>
        </w:rPr>
        <w:t>learn</w:t>
      </w:r>
      <w:r w:rsidRPr="002A4555">
        <w:rPr>
          <w:rFonts w:ascii="Times" w:hAnsi="Times"/>
          <w:szCs w:val="20"/>
          <w:lang w:val="en-GB"/>
        </w:rPr>
        <w:t xml:space="preserve"> the fundamental themes and </w:t>
      </w:r>
      <w:r w:rsidR="00196F04" w:rsidRPr="002A4555">
        <w:rPr>
          <w:rFonts w:ascii="Times" w:hAnsi="Times"/>
          <w:szCs w:val="20"/>
          <w:lang w:val="en-GB"/>
        </w:rPr>
        <w:t>guidelines</w:t>
      </w:r>
      <w:r w:rsidRPr="002A4555">
        <w:rPr>
          <w:rFonts w:ascii="Times" w:hAnsi="Times"/>
          <w:szCs w:val="20"/>
          <w:lang w:val="en-GB"/>
        </w:rPr>
        <w:t xml:space="preserve"> that characteri</w:t>
      </w:r>
      <w:r w:rsidR="00385DCE" w:rsidRPr="002A4555">
        <w:rPr>
          <w:rFonts w:ascii="Times" w:hAnsi="Times"/>
          <w:szCs w:val="20"/>
          <w:lang w:val="en-GB"/>
        </w:rPr>
        <w:t>s</w:t>
      </w:r>
      <w:r w:rsidRPr="002A4555">
        <w:rPr>
          <w:rFonts w:ascii="Times" w:hAnsi="Times"/>
          <w:szCs w:val="20"/>
          <w:lang w:val="en-GB"/>
        </w:rPr>
        <w:t xml:space="preserve">e the philosophical approach to law, </w:t>
      </w:r>
      <w:r w:rsidR="00B102E4" w:rsidRPr="002A4555">
        <w:rPr>
          <w:rFonts w:ascii="Times" w:hAnsi="Times"/>
          <w:szCs w:val="20"/>
          <w:lang w:val="en-GB"/>
        </w:rPr>
        <w:t>as well as</w:t>
      </w:r>
      <w:r w:rsidR="00196F04" w:rsidRPr="002A4555">
        <w:rPr>
          <w:rFonts w:ascii="Times" w:hAnsi="Times"/>
          <w:szCs w:val="20"/>
          <w:lang w:val="en-GB"/>
        </w:rPr>
        <w:t xml:space="preserve"> </w:t>
      </w:r>
      <w:r w:rsidRPr="002A4555">
        <w:rPr>
          <w:rFonts w:ascii="Times" w:hAnsi="Times"/>
          <w:szCs w:val="20"/>
          <w:lang w:val="en-GB"/>
        </w:rPr>
        <w:t xml:space="preserve">understand its complexity also in the light of </w:t>
      </w:r>
      <w:r w:rsidR="00196F04" w:rsidRPr="002A4555">
        <w:rPr>
          <w:rFonts w:ascii="Times" w:hAnsi="Times"/>
          <w:szCs w:val="20"/>
          <w:lang w:val="en-GB"/>
        </w:rPr>
        <w:t>its</w:t>
      </w:r>
      <w:r w:rsidRPr="002A4555">
        <w:rPr>
          <w:rFonts w:ascii="Times" w:hAnsi="Times"/>
          <w:szCs w:val="20"/>
          <w:lang w:val="en-GB"/>
        </w:rPr>
        <w:t xml:space="preserve"> corresponding historical-conceptual background</w:t>
      </w:r>
      <w:r w:rsidR="0011145C" w:rsidRPr="002A4555">
        <w:rPr>
          <w:rFonts w:ascii="Times" w:hAnsi="Times"/>
          <w:szCs w:val="20"/>
          <w:lang w:val="en-GB"/>
        </w:rPr>
        <w:t xml:space="preserve">.  </w:t>
      </w:r>
    </w:p>
    <w:p w14:paraId="6EC81C04" w14:textId="0301F6FF" w:rsidR="0011145C" w:rsidRPr="002A4555" w:rsidRDefault="00196F04" w:rsidP="0011145C">
      <w:pPr>
        <w:rPr>
          <w:rFonts w:ascii="Times" w:hAnsi="Times"/>
          <w:b/>
          <w:bCs/>
          <w:szCs w:val="20"/>
          <w:lang w:val="en-GB"/>
        </w:rPr>
      </w:pPr>
      <w:r w:rsidRPr="002A4555">
        <w:rPr>
          <w:szCs w:val="18"/>
          <w:lang w:val="en-GB"/>
        </w:rPr>
        <w:t>The intended learning result is an in-depth knowledge of philosophical-legal issues concerning both the theoretical aspects and the projections in terms of legal experience</w:t>
      </w:r>
      <w:r w:rsidR="00B102E4" w:rsidRPr="002A4555">
        <w:rPr>
          <w:szCs w:val="18"/>
          <w:lang w:val="en-GB"/>
        </w:rPr>
        <w:t>,</w:t>
      </w:r>
      <w:r w:rsidRPr="002A4555">
        <w:rPr>
          <w:szCs w:val="18"/>
          <w:lang w:val="en-GB"/>
        </w:rPr>
        <w:t xml:space="preserve"> also in relation to today's complex context. </w:t>
      </w:r>
      <w:r w:rsidR="00162F45" w:rsidRPr="002A4555">
        <w:rPr>
          <w:szCs w:val="18"/>
          <w:lang w:val="en-GB"/>
        </w:rPr>
        <w:t>More precisely, at the end of the course</w:t>
      </w:r>
      <w:r w:rsidR="00B102E4" w:rsidRPr="002A4555">
        <w:rPr>
          <w:szCs w:val="18"/>
          <w:lang w:val="en-GB"/>
        </w:rPr>
        <w:t>,</w:t>
      </w:r>
      <w:r w:rsidR="00162F45" w:rsidRPr="002A4555">
        <w:rPr>
          <w:szCs w:val="18"/>
          <w:lang w:val="en-GB"/>
        </w:rPr>
        <w:t xml:space="preserve"> students will have learned the fundamental legal-philosophical categories</w:t>
      </w:r>
      <w:r w:rsidR="00B102E4" w:rsidRPr="002A4555">
        <w:rPr>
          <w:szCs w:val="18"/>
          <w:lang w:val="en-GB"/>
        </w:rPr>
        <w:t xml:space="preserve">, they will have </w:t>
      </w:r>
      <w:r w:rsidR="00162F45" w:rsidRPr="002A4555">
        <w:rPr>
          <w:szCs w:val="18"/>
          <w:lang w:val="en-GB"/>
        </w:rPr>
        <w:t xml:space="preserve">studied the main theoretical-legal models in depth </w:t>
      </w:r>
      <w:r w:rsidR="00B102E4" w:rsidRPr="002A4555">
        <w:rPr>
          <w:szCs w:val="18"/>
          <w:lang w:val="en-GB"/>
        </w:rPr>
        <w:t xml:space="preserve">and be able </w:t>
      </w:r>
      <w:r w:rsidR="00162F45" w:rsidRPr="002A4555">
        <w:rPr>
          <w:szCs w:val="18"/>
          <w:lang w:val="en-GB"/>
        </w:rPr>
        <w:t xml:space="preserve">to </w:t>
      </w:r>
      <w:r w:rsidR="00923E11" w:rsidRPr="002A4555">
        <w:rPr>
          <w:szCs w:val="18"/>
          <w:lang w:val="en-GB"/>
        </w:rPr>
        <w:t xml:space="preserve">reformulate </w:t>
      </w:r>
      <w:r w:rsidR="00162F45" w:rsidRPr="002A4555">
        <w:rPr>
          <w:szCs w:val="18"/>
          <w:lang w:val="en-GB"/>
        </w:rPr>
        <w:t xml:space="preserve">the concepts and materials discussed in class with greater competence. </w:t>
      </w:r>
      <w:r w:rsidR="00923E11" w:rsidRPr="002A4555">
        <w:rPr>
          <w:szCs w:val="18"/>
          <w:lang w:val="en-GB"/>
        </w:rPr>
        <w:t>Continuously stimulated to critically compare the different theoretical orientations, students will have developed the ability to autonomously carry out assessments regarding problems of philosophical-legal relevance.</w:t>
      </w:r>
      <w:r w:rsidR="0011145C" w:rsidRPr="002A4555">
        <w:rPr>
          <w:rFonts w:ascii="Times" w:hAnsi="Times"/>
          <w:szCs w:val="20"/>
          <w:lang w:val="en-GB"/>
        </w:rPr>
        <w:t xml:space="preserve"> </w:t>
      </w:r>
      <w:r w:rsidR="00923E11" w:rsidRPr="002A4555">
        <w:rPr>
          <w:rFonts w:ascii="Times" w:hAnsi="Times"/>
          <w:szCs w:val="20"/>
          <w:lang w:val="en-GB"/>
        </w:rPr>
        <w:t xml:space="preserve">This perspective, methodologically based on the continuous importance given to the logical-systematic relationships underlying the topics discussed, will also favour the development of the learning skills. Finally, the progressive acquisition of an appropriate vocabulary, </w:t>
      </w:r>
      <w:r w:rsidR="00ED0D8F" w:rsidRPr="002A4555">
        <w:rPr>
          <w:rFonts w:ascii="Times" w:hAnsi="Times"/>
          <w:szCs w:val="20"/>
          <w:lang w:val="en-GB"/>
        </w:rPr>
        <w:t>along</w:t>
      </w:r>
      <w:r w:rsidR="00923E11" w:rsidRPr="002A4555">
        <w:rPr>
          <w:rFonts w:ascii="Times" w:hAnsi="Times"/>
          <w:szCs w:val="20"/>
          <w:lang w:val="en-GB"/>
        </w:rPr>
        <w:t xml:space="preserve"> with the development of the</w:t>
      </w:r>
      <w:r w:rsidR="00ED0D8F" w:rsidRPr="002A4555">
        <w:rPr>
          <w:rFonts w:ascii="Times" w:hAnsi="Times"/>
          <w:szCs w:val="20"/>
          <w:lang w:val="en-GB"/>
        </w:rPr>
        <w:t>ir</w:t>
      </w:r>
      <w:r w:rsidR="00923E11" w:rsidRPr="002A4555">
        <w:rPr>
          <w:rFonts w:ascii="Times" w:hAnsi="Times"/>
          <w:szCs w:val="20"/>
          <w:lang w:val="en-GB"/>
        </w:rPr>
        <w:t xml:space="preserve"> ability to correctly use the argumentative modules of the philosophy of law, will allow student</w:t>
      </w:r>
      <w:r w:rsidR="00ED0D8F" w:rsidRPr="002A4555">
        <w:rPr>
          <w:rFonts w:ascii="Times" w:hAnsi="Times"/>
          <w:szCs w:val="20"/>
          <w:lang w:val="en-GB"/>
        </w:rPr>
        <w:t>s</w:t>
      </w:r>
      <w:r w:rsidR="00923E11" w:rsidRPr="002A4555">
        <w:rPr>
          <w:rFonts w:ascii="Times" w:hAnsi="Times"/>
          <w:szCs w:val="20"/>
          <w:lang w:val="en-GB"/>
        </w:rPr>
        <w:t xml:space="preserve"> to improve communication skills</w:t>
      </w:r>
      <w:r w:rsidR="0011145C" w:rsidRPr="002A4555">
        <w:rPr>
          <w:rFonts w:ascii="Times" w:hAnsi="Times"/>
          <w:szCs w:val="20"/>
          <w:lang w:val="en-GB"/>
        </w:rPr>
        <w:t>.</w:t>
      </w:r>
      <w:r w:rsidR="0011145C" w:rsidRPr="002A4555">
        <w:rPr>
          <w:rFonts w:ascii="Times" w:hAnsi="Times"/>
          <w:b/>
          <w:bCs/>
          <w:szCs w:val="20"/>
          <w:u w:val="single"/>
          <w:lang w:val="en-GB"/>
        </w:rPr>
        <w:t xml:space="preserve"> </w:t>
      </w:r>
    </w:p>
    <w:p w14:paraId="0DE7C9DB" w14:textId="106A77FB" w:rsidR="0011145C" w:rsidRPr="002A4555" w:rsidRDefault="00385DCE" w:rsidP="0011145C">
      <w:pPr>
        <w:spacing w:before="240" w:after="120"/>
        <w:rPr>
          <w:b/>
          <w:sz w:val="18"/>
          <w:lang w:val="en-GB"/>
        </w:rPr>
      </w:pPr>
      <w:bookmarkStart w:id="1" w:name="_Hlk76557154"/>
      <w:r w:rsidRPr="002A4555">
        <w:rPr>
          <w:b/>
          <w:i/>
          <w:sz w:val="18"/>
          <w:lang w:val="en-GB"/>
        </w:rPr>
        <w:t>COURSE CONTENT</w:t>
      </w:r>
      <w:bookmarkEnd w:id="1"/>
    </w:p>
    <w:p w14:paraId="1037888A" w14:textId="75F53BF7" w:rsidR="0011145C" w:rsidRPr="002A4555" w:rsidRDefault="002C61AD" w:rsidP="0011145C">
      <w:pPr>
        <w:rPr>
          <w:lang w:val="en-GB"/>
        </w:rPr>
      </w:pPr>
      <w:r w:rsidRPr="002A4555">
        <w:rPr>
          <w:lang w:val="en-GB"/>
        </w:rPr>
        <w:t>The course focuses on some traditional issues of the philosophy of law and is divided into two related core themes</w:t>
      </w:r>
      <w:r w:rsidR="0011145C" w:rsidRPr="002A4555">
        <w:rPr>
          <w:lang w:val="en-GB"/>
        </w:rPr>
        <w:t xml:space="preserve">. </w:t>
      </w:r>
    </w:p>
    <w:p w14:paraId="3D7DCF87" w14:textId="42914955" w:rsidR="0011145C" w:rsidRPr="002A4555" w:rsidRDefault="002C61AD" w:rsidP="0011145C">
      <w:pPr>
        <w:rPr>
          <w:szCs w:val="20"/>
          <w:lang w:val="en-GB"/>
        </w:rPr>
      </w:pPr>
      <w:r w:rsidRPr="002A4555">
        <w:rPr>
          <w:lang w:val="en-GB"/>
        </w:rPr>
        <w:t xml:space="preserve">The first core theme is dedicated to the analysis of “classical” categories, institutes and theoretical models: concept of “philosophy of law”; justification of the notion of legal “obligation” (in the polarity natural law vs. conventionalism); typification processes and legal frameworks; dynamics of political-institutional legitimacy (in particular the figure of the “State”); idea of “rule of law” and related foundation models including the problem of sanctions; </w:t>
      </w:r>
      <w:r w:rsidR="007C0091" w:rsidRPr="002A4555">
        <w:rPr>
          <w:lang w:val="en-GB"/>
        </w:rPr>
        <w:t>concept of “judicial system”; relationship between law, linguistic form and interpretation;</w:t>
      </w:r>
      <w:r w:rsidR="00B102E4" w:rsidRPr="002A4555">
        <w:rPr>
          <w:lang w:val="en-GB"/>
        </w:rPr>
        <w:t xml:space="preserve"> and</w:t>
      </w:r>
      <w:r w:rsidR="007C0091" w:rsidRPr="002A4555">
        <w:rPr>
          <w:lang w:val="en-GB"/>
        </w:rPr>
        <w:t xml:space="preserve"> </w:t>
      </w:r>
      <w:r w:rsidR="00B102E4" w:rsidRPr="002A4555">
        <w:rPr>
          <w:lang w:val="en-GB"/>
        </w:rPr>
        <w:t>concept</w:t>
      </w:r>
      <w:r w:rsidR="007C0091" w:rsidRPr="002A4555">
        <w:rPr>
          <w:lang w:val="en-GB"/>
        </w:rPr>
        <w:t xml:space="preserve"> of “institution”. </w:t>
      </w:r>
    </w:p>
    <w:p w14:paraId="1E8F4D21" w14:textId="5043592E" w:rsidR="0011145C" w:rsidRPr="002A4555" w:rsidRDefault="00F51FAD" w:rsidP="0011145C">
      <w:pPr>
        <w:rPr>
          <w:lang w:val="en-GB"/>
        </w:rPr>
      </w:pPr>
      <w:r w:rsidRPr="002A4555">
        <w:rPr>
          <w:szCs w:val="20"/>
          <w:lang w:val="en-GB"/>
        </w:rPr>
        <w:t xml:space="preserve">In the second core theme, a critical discussion of the previous conceptual framework will be proposed, focusing both on further theoretical models (imperative theory of law, positivism, realism) and on </w:t>
      </w:r>
      <w:r w:rsidR="00A036D0" w:rsidRPr="002A4555">
        <w:rPr>
          <w:szCs w:val="20"/>
          <w:lang w:val="en-GB"/>
        </w:rPr>
        <w:t xml:space="preserve">some </w:t>
      </w:r>
      <w:r w:rsidRPr="002A4555">
        <w:rPr>
          <w:szCs w:val="20"/>
          <w:lang w:val="en-GB"/>
        </w:rPr>
        <w:t xml:space="preserve">current traditional paradigms with consequent </w:t>
      </w:r>
      <w:r w:rsidRPr="002A4555">
        <w:rPr>
          <w:szCs w:val="20"/>
          <w:lang w:val="en-GB"/>
        </w:rPr>
        <w:lastRenderedPageBreak/>
        <w:t xml:space="preserve">reflections </w:t>
      </w:r>
      <w:r w:rsidR="00A036D0" w:rsidRPr="002A4555">
        <w:rPr>
          <w:szCs w:val="20"/>
          <w:lang w:val="en-GB"/>
        </w:rPr>
        <w:t>from</w:t>
      </w:r>
      <w:r w:rsidRPr="002A4555">
        <w:rPr>
          <w:szCs w:val="20"/>
          <w:lang w:val="en-GB"/>
        </w:rPr>
        <w:t xml:space="preserve"> a foundational (</w:t>
      </w:r>
      <w:r w:rsidR="00A036D0" w:rsidRPr="002A4555">
        <w:rPr>
          <w:szCs w:val="20"/>
          <w:lang w:val="en-GB"/>
        </w:rPr>
        <w:t>rules</w:t>
      </w:r>
      <w:r w:rsidRPr="002A4555">
        <w:rPr>
          <w:szCs w:val="20"/>
          <w:lang w:val="en-GB"/>
        </w:rPr>
        <w:t>-regulation</w:t>
      </w:r>
      <w:r w:rsidR="00A036D0" w:rsidRPr="002A4555">
        <w:rPr>
          <w:szCs w:val="20"/>
          <w:lang w:val="en-GB"/>
        </w:rPr>
        <w:t xml:space="preserve"> binomial</w:t>
      </w:r>
      <w:r w:rsidRPr="002A4555">
        <w:rPr>
          <w:szCs w:val="20"/>
          <w:lang w:val="en-GB"/>
        </w:rPr>
        <w:t>) and interpretative-</w:t>
      </w:r>
      <w:r w:rsidR="00A036D0" w:rsidRPr="002A4555">
        <w:rPr>
          <w:szCs w:val="20"/>
          <w:lang w:val="en-GB"/>
        </w:rPr>
        <w:t>j</w:t>
      </w:r>
      <w:r w:rsidRPr="002A4555">
        <w:rPr>
          <w:szCs w:val="20"/>
          <w:lang w:val="en-GB"/>
        </w:rPr>
        <w:t xml:space="preserve">urisprudential </w:t>
      </w:r>
      <w:r w:rsidR="00A036D0" w:rsidRPr="002A4555">
        <w:rPr>
          <w:szCs w:val="20"/>
          <w:lang w:val="en-GB"/>
        </w:rPr>
        <w:t xml:space="preserve">perspective </w:t>
      </w:r>
      <w:r w:rsidRPr="002A4555">
        <w:rPr>
          <w:szCs w:val="20"/>
          <w:lang w:val="en-GB"/>
        </w:rPr>
        <w:t xml:space="preserve">(role of the Courts). </w:t>
      </w:r>
      <w:r w:rsidR="005E253D" w:rsidRPr="002A4555">
        <w:rPr>
          <w:szCs w:val="20"/>
          <w:lang w:val="en-GB"/>
        </w:rPr>
        <w:t>Special</w:t>
      </w:r>
      <w:r w:rsidRPr="002A4555">
        <w:rPr>
          <w:szCs w:val="20"/>
          <w:lang w:val="en-GB"/>
        </w:rPr>
        <w:t xml:space="preserve"> </w:t>
      </w:r>
      <w:r w:rsidR="005E253D" w:rsidRPr="002A4555">
        <w:rPr>
          <w:szCs w:val="20"/>
          <w:lang w:val="en-GB"/>
        </w:rPr>
        <w:t>focus</w:t>
      </w:r>
      <w:r w:rsidRPr="002A4555">
        <w:rPr>
          <w:szCs w:val="20"/>
          <w:lang w:val="en-GB"/>
        </w:rPr>
        <w:t xml:space="preserve"> will be </w:t>
      </w:r>
      <w:r w:rsidR="005E253D" w:rsidRPr="002A4555">
        <w:rPr>
          <w:szCs w:val="20"/>
          <w:lang w:val="en-GB"/>
        </w:rPr>
        <w:t>placed on</w:t>
      </w:r>
      <w:r w:rsidRPr="002A4555">
        <w:rPr>
          <w:szCs w:val="20"/>
          <w:lang w:val="en-GB"/>
        </w:rPr>
        <w:t xml:space="preserve"> the </w:t>
      </w:r>
      <w:r w:rsidR="005E253D" w:rsidRPr="002A4555">
        <w:rPr>
          <w:szCs w:val="20"/>
          <w:lang w:val="en-GB"/>
        </w:rPr>
        <w:t>concept</w:t>
      </w:r>
      <w:r w:rsidRPr="002A4555">
        <w:rPr>
          <w:szCs w:val="20"/>
          <w:lang w:val="en-GB"/>
        </w:rPr>
        <w:t xml:space="preserve"> of </w:t>
      </w:r>
      <w:r w:rsidR="005E253D" w:rsidRPr="002A4555">
        <w:rPr>
          <w:szCs w:val="20"/>
          <w:lang w:val="en-GB"/>
        </w:rPr>
        <w:t xml:space="preserve">customary law </w:t>
      </w:r>
      <w:r w:rsidRPr="002A4555">
        <w:rPr>
          <w:szCs w:val="20"/>
          <w:lang w:val="en-GB"/>
        </w:rPr>
        <w:t>and its progressive reconfiguration</w:t>
      </w:r>
      <w:r w:rsidR="0011145C" w:rsidRPr="002A4555">
        <w:rPr>
          <w:lang w:val="en-GB"/>
        </w:rPr>
        <w:t>.</w:t>
      </w:r>
    </w:p>
    <w:p w14:paraId="7A8EB1B8" w14:textId="105918E8" w:rsidR="0011145C" w:rsidRPr="002A4555" w:rsidRDefault="00385DCE" w:rsidP="0011145C">
      <w:pPr>
        <w:spacing w:before="240" w:after="120" w:line="220" w:lineRule="exact"/>
        <w:rPr>
          <w:i/>
          <w:sz w:val="18"/>
          <w:lang w:val="en-GB"/>
        </w:rPr>
      </w:pPr>
      <w:bookmarkStart w:id="2" w:name="_Hlk76557173"/>
      <w:r w:rsidRPr="002A4555">
        <w:rPr>
          <w:b/>
          <w:i/>
          <w:sz w:val="18"/>
          <w:lang w:val="en-GB"/>
        </w:rPr>
        <w:t>READING LIST</w:t>
      </w:r>
      <w:bookmarkEnd w:id="2"/>
    </w:p>
    <w:p w14:paraId="4F44CBAA" w14:textId="03B17180" w:rsidR="0011145C" w:rsidRPr="002A4555" w:rsidRDefault="00385DCE" w:rsidP="0011145C">
      <w:pPr>
        <w:pStyle w:val="Testo1"/>
        <w:rPr>
          <w:i/>
          <w:lang w:val="en-GB"/>
        </w:rPr>
      </w:pPr>
      <w:r w:rsidRPr="002A4555">
        <w:rPr>
          <w:i/>
          <w:lang w:val="en-GB"/>
        </w:rPr>
        <w:t>For attending students</w:t>
      </w:r>
      <w:r w:rsidR="0011145C" w:rsidRPr="002A4555">
        <w:rPr>
          <w:i/>
          <w:lang w:val="en-GB"/>
        </w:rPr>
        <w:t>:</w:t>
      </w:r>
    </w:p>
    <w:p w14:paraId="1D462149" w14:textId="7C25F864" w:rsidR="0011145C" w:rsidRPr="002A4555" w:rsidRDefault="0011145C" w:rsidP="0011145C">
      <w:pPr>
        <w:pStyle w:val="Testo1"/>
        <w:spacing w:before="0" w:line="240" w:lineRule="atLeast"/>
        <w:contextualSpacing/>
        <w:rPr>
          <w:lang w:val="en-GB"/>
        </w:rPr>
      </w:pPr>
      <w:r w:rsidRPr="002A4555">
        <w:rPr>
          <w:lang w:val="en-GB"/>
        </w:rPr>
        <w:t>1.</w:t>
      </w:r>
      <w:r w:rsidRPr="002A4555">
        <w:rPr>
          <w:lang w:val="en-GB"/>
        </w:rPr>
        <w:tab/>
      </w:r>
      <w:r w:rsidR="000B7346" w:rsidRPr="002A4555">
        <w:rPr>
          <w:lang w:val="en-GB"/>
        </w:rPr>
        <w:t>Material explained in class and made available online on the Blackboard platform</w:t>
      </w:r>
      <w:r w:rsidRPr="002A4555">
        <w:rPr>
          <w:lang w:val="en-GB"/>
        </w:rPr>
        <w:t>.</w:t>
      </w:r>
    </w:p>
    <w:p w14:paraId="2677AFE8" w14:textId="1668BA31" w:rsidR="0011145C" w:rsidRPr="002A4555" w:rsidRDefault="0011145C" w:rsidP="0011145C">
      <w:pPr>
        <w:pStyle w:val="Testo1"/>
        <w:spacing w:line="240" w:lineRule="atLeast"/>
        <w:contextualSpacing/>
        <w:rPr>
          <w:lang w:val="en-GB"/>
        </w:rPr>
      </w:pPr>
      <w:r w:rsidRPr="002A4555">
        <w:rPr>
          <w:lang w:val="en-GB"/>
        </w:rPr>
        <w:t>2.</w:t>
      </w:r>
      <w:r w:rsidRPr="002A4555">
        <w:rPr>
          <w:lang w:val="en-GB"/>
        </w:rPr>
        <w:tab/>
      </w:r>
      <w:r w:rsidRPr="002A4555">
        <w:rPr>
          <w:smallCaps/>
          <w:spacing w:val="-5"/>
          <w:sz w:val="16"/>
          <w:lang w:val="en-GB"/>
        </w:rPr>
        <w:t xml:space="preserve">A. Andronico-T. Greco-F. Macioce </w:t>
      </w:r>
      <w:r w:rsidRPr="002A4555">
        <w:rPr>
          <w:lang w:val="en-GB"/>
        </w:rPr>
        <w:t>(</w:t>
      </w:r>
      <w:r w:rsidR="000B7346" w:rsidRPr="002A4555">
        <w:rPr>
          <w:lang w:val="en-GB"/>
        </w:rPr>
        <w:t>edited by</w:t>
      </w:r>
      <w:r w:rsidRPr="002A4555">
        <w:rPr>
          <w:lang w:val="en-GB"/>
        </w:rPr>
        <w:t xml:space="preserve">), </w:t>
      </w:r>
      <w:r w:rsidRPr="002A4555">
        <w:rPr>
          <w:i/>
          <w:spacing w:val="-5"/>
          <w:lang w:val="en-GB"/>
        </w:rPr>
        <w:t>Dimensioni del diritto</w:t>
      </w:r>
      <w:r w:rsidRPr="002A4555">
        <w:rPr>
          <w:lang w:val="en-GB"/>
        </w:rPr>
        <w:t>, Giappichelli, T</w:t>
      </w:r>
      <w:r w:rsidR="000B7346" w:rsidRPr="002A4555">
        <w:rPr>
          <w:lang w:val="en-GB"/>
        </w:rPr>
        <w:t>u</w:t>
      </w:r>
      <w:r w:rsidRPr="002A4555">
        <w:rPr>
          <w:lang w:val="en-GB"/>
        </w:rPr>
        <w:t xml:space="preserve">rin, 2019. </w:t>
      </w:r>
      <w:r w:rsidR="000B7346" w:rsidRPr="002A4555">
        <w:rPr>
          <w:b/>
          <w:lang w:val="en-GB"/>
        </w:rPr>
        <w:t>Students are expected to study the following chapters of this volume</w:t>
      </w:r>
      <w:r w:rsidRPr="002A4555">
        <w:rPr>
          <w:b/>
          <w:lang w:val="en-GB"/>
        </w:rPr>
        <w:t>: 1 (</w:t>
      </w:r>
      <w:r w:rsidR="000B7346" w:rsidRPr="002A4555">
        <w:rPr>
          <w:b/>
          <w:lang w:val="en-GB"/>
        </w:rPr>
        <w:t>Justice</w:t>
      </w:r>
      <w:r w:rsidRPr="002A4555">
        <w:rPr>
          <w:b/>
          <w:lang w:val="en-GB"/>
        </w:rPr>
        <w:t>), 2 (Po</w:t>
      </w:r>
      <w:r w:rsidR="000B7346" w:rsidRPr="002A4555">
        <w:rPr>
          <w:b/>
          <w:lang w:val="en-GB"/>
        </w:rPr>
        <w:t>wer</w:t>
      </w:r>
      <w:r w:rsidRPr="002A4555">
        <w:rPr>
          <w:b/>
          <w:lang w:val="en-GB"/>
        </w:rPr>
        <w:t>), 4 (Societ</w:t>
      </w:r>
      <w:r w:rsidR="007A54AB" w:rsidRPr="002A4555">
        <w:rPr>
          <w:b/>
          <w:lang w:val="en-GB"/>
        </w:rPr>
        <w:t>y</w:t>
      </w:r>
      <w:r w:rsidRPr="002A4555">
        <w:rPr>
          <w:b/>
          <w:lang w:val="en-GB"/>
        </w:rPr>
        <w:t>), 5 (</w:t>
      </w:r>
      <w:r w:rsidR="007A54AB" w:rsidRPr="002A4555">
        <w:rPr>
          <w:b/>
          <w:lang w:val="en-GB"/>
        </w:rPr>
        <w:t>Freedom</w:t>
      </w:r>
      <w:r w:rsidRPr="002A4555">
        <w:rPr>
          <w:b/>
          <w:lang w:val="en-GB"/>
        </w:rPr>
        <w:t>), 6 (</w:t>
      </w:r>
      <w:r w:rsidR="007A54AB" w:rsidRPr="002A4555">
        <w:rPr>
          <w:b/>
          <w:lang w:val="en-GB"/>
        </w:rPr>
        <w:t>Equality</w:t>
      </w:r>
      <w:r w:rsidRPr="002A4555">
        <w:rPr>
          <w:b/>
          <w:lang w:val="en-GB"/>
        </w:rPr>
        <w:t>), 9 (Fa</w:t>
      </w:r>
      <w:r w:rsidR="007A54AB" w:rsidRPr="002A4555">
        <w:rPr>
          <w:b/>
          <w:lang w:val="en-GB"/>
        </w:rPr>
        <w:t>ct</w:t>
      </w:r>
      <w:r w:rsidRPr="002A4555">
        <w:rPr>
          <w:b/>
          <w:lang w:val="en-GB"/>
        </w:rPr>
        <w:t>), 11 (L</w:t>
      </w:r>
      <w:r w:rsidR="007A54AB" w:rsidRPr="002A4555">
        <w:rPr>
          <w:b/>
          <w:lang w:val="en-GB"/>
        </w:rPr>
        <w:t>anguage</w:t>
      </w:r>
      <w:r w:rsidRPr="002A4555">
        <w:rPr>
          <w:b/>
          <w:lang w:val="en-GB"/>
        </w:rPr>
        <w:t>), 12 (R</w:t>
      </w:r>
      <w:r w:rsidR="007A54AB" w:rsidRPr="002A4555">
        <w:rPr>
          <w:b/>
          <w:lang w:val="en-GB"/>
        </w:rPr>
        <w:t>h</w:t>
      </w:r>
      <w:r w:rsidRPr="002A4555">
        <w:rPr>
          <w:b/>
          <w:lang w:val="en-GB"/>
        </w:rPr>
        <w:t xml:space="preserve">etoric) </w:t>
      </w:r>
      <w:r w:rsidR="007A54AB" w:rsidRPr="002A4555">
        <w:rPr>
          <w:b/>
          <w:lang w:val="en-GB"/>
        </w:rPr>
        <w:t>and</w:t>
      </w:r>
      <w:r w:rsidRPr="002A4555">
        <w:rPr>
          <w:b/>
          <w:lang w:val="en-GB"/>
        </w:rPr>
        <w:t xml:space="preserve"> 18 (Humanities)</w:t>
      </w:r>
    </w:p>
    <w:p w14:paraId="58A42E92" w14:textId="4C62B5C4" w:rsidR="0011145C" w:rsidRPr="002A4555" w:rsidRDefault="0011145C" w:rsidP="0011145C">
      <w:pPr>
        <w:pStyle w:val="Testo1"/>
        <w:spacing w:before="0" w:line="240" w:lineRule="atLeast"/>
        <w:rPr>
          <w:b/>
          <w:bCs/>
          <w:lang w:val="en-GB"/>
        </w:rPr>
      </w:pPr>
      <w:r w:rsidRPr="002A4555">
        <w:rPr>
          <w:lang w:val="en-GB"/>
        </w:rPr>
        <w:t>3.</w:t>
      </w:r>
      <w:r w:rsidRPr="002A4555">
        <w:rPr>
          <w:smallCaps/>
          <w:spacing w:val="-5"/>
          <w:sz w:val="16"/>
          <w:lang w:val="en-GB"/>
        </w:rPr>
        <w:tab/>
      </w:r>
      <w:r w:rsidR="007A54AB" w:rsidRPr="002A4555">
        <w:rPr>
          <w:b/>
          <w:lang w:val="en-GB"/>
        </w:rPr>
        <w:t>Students are expected to study the following chapters of this volume</w:t>
      </w:r>
      <w:r w:rsidRPr="002A4555">
        <w:rPr>
          <w:b/>
          <w:bCs/>
          <w:lang w:val="en-GB"/>
        </w:rPr>
        <w:t xml:space="preserve">: </w:t>
      </w:r>
    </w:p>
    <w:p w14:paraId="2D9B8855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lang w:val="en-GB"/>
        </w:rPr>
      </w:pPr>
      <w:r w:rsidRPr="002A4555">
        <w:rPr>
          <w:b/>
          <w:bCs/>
          <w:lang w:val="en-GB"/>
        </w:rPr>
        <w:t>P. Di Lucia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Il mistero della consuetudine. Rileggendo Bobbio filosofo della normatività</w:t>
      </w:r>
      <w:r w:rsidRPr="002A4555">
        <w:rPr>
          <w:lang w:val="en-GB"/>
        </w:rPr>
        <w:t xml:space="preserve"> </w:t>
      </w:r>
    </w:p>
    <w:p w14:paraId="42C9F0EE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i/>
          <w:iCs/>
          <w:lang w:val="en-GB"/>
        </w:rPr>
      </w:pPr>
      <w:r w:rsidRPr="002A4555">
        <w:rPr>
          <w:b/>
          <w:bCs/>
          <w:lang w:val="en-GB"/>
        </w:rPr>
        <w:t>T. Gazzolo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La consuetudine origine del diritto?</w:t>
      </w:r>
    </w:p>
    <w:p w14:paraId="582CC24F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i/>
          <w:iCs/>
          <w:lang w:val="en-GB"/>
        </w:rPr>
      </w:pPr>
      <w:r w:rsidRPr="002A4555">
        <w:rPr>
          <w:b/>
          <w:bCs/>
          <w:lang w:val="en-GB"/>
        </w:rPr>
        <w:t>G. Bombelli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Consuetudine. Su alcuni profili cognitivi</w:t>
      </w:r>
    </w:p>
    <w:p w14:paraId="48274776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i/>
          <w:iCs/>
          <w:lang w:val="en-GB"/>
        </w:rPr>
      </w:pPr>
      <w:r w:rsidRPr="002A4555">
        <w:rPr>
          <w:b/>
          <w:bCs/>
          <w:lang w:val="en-GB"/>
        </w:rPr>
        <w:t>A. Sammassimo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Aspetti peculiari della consuetudine nel diritto canonico</w:t>
      </w:r>
    </w:p>
    <w:p w14:paraId="25ED4FE3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i/>
          <w:iCs/>
          <w:spacing w:val="-5"/>
          <w:lang w:val="en-GB"/>
        </w:rPr>
      </w:pPr>
      <w:r w:rsidRPr="002A4555">
        <w:rPr>
          <w:b/>
          <w:bCs/>
          <w:lang w:val="en-GB"/>
        </w:rPr>
        <w:t>L. Cornacchia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Consuetudine e Law in Action in diritto penale</w:t>
      </w:r>
    </w:p>
    <w:p w14:paraId="4F304BCB" w14:textId="6CF45959" w:rsidR="0011145C" w:rsidRPr="002A4555" w:rsidRDefault="00385DCE" w:rsidP="0011145C">
      <w:pPr>
        <w:pStyle w:val="Testo1"/>
        <w:spacing w:line="240" w:lineRule="auto"/>
        <w:rPr>
          <w:i/>
          <w:spacing w:val="-5"/>
          <w:lang w:val="en-GB"/>
        </w:rPr>
      </w:pPr>
      <w:r w:rsidRPr="002A4555">
        <w:rPr>
          <w:i/>
          <w:spacing w:val="-5"/>
          <w:lang w:val="en-GB"/>
        </w:rPr>
        <w:t>For non-attending students</w:t>
      </w:r>
      <w:r w:rsidR="0011145C" w:rsidRPr="002A4555">
        <w:rPr>
          <w:i/>
          <w:spacing w:val="-5"/>
          <w:lang w:val="en-GB"/>
        </w:rPr>
        <w:t>:</w:t>
      </w:r>
    </w:p>
    <w:p w14:paraId="0AD890A7" w14:textId="217B2498" w:rsidR="0011145C" w:rsidRPr="002A4555" w:rsidRDefault="0011145C" w:rsidP="0011145C">
      <w:pPr>
        <w:pStyle w:val="Testo1"/>
        <w:spacing w:line="240" w:lineRule="auto"/>
        <w:contextualSpacing/>
        <w:rPr>
          <w:lang w:val="en-GB"/>
        </w:rPr>
      </w:pPr>
      <w:r w:rsidRPr="002A4555">
        <w:rPr>
          <w:lang w:val="en-GB"/>
        </w:rPr>
        <w:t>1.</w:t>
      </w:r>
      <w:r w:rsidRPr="002A4555">
        <w:rPr>
          <w:lang w:val="en-GB"/>
        </w:rPr>
        <w:tab/>
      </w:r>
      <w:r w:rsidRPr="002A4555">
        <w:rPr>
          <w:smallCaps/>
          <w:spacing w:val="-5"/>
          <w:sz w:val="16"/>
          <w:lang w:val="en-GB"/>
        </w:rPr>
        <w:t xml:space="preserve">A. Andronico-T. Greco-F. Macioce </w:t>
      </w:r>
      <w:r w:rsidRPr="002A4555">
        <w:rPr>
          <w:lang w:val="en-GB"/>
        </w:rPr>
        <w:t>(</w:t>
      </w:r>
      <w:r w:rsidR="00385DCE" w:rsidRPr="002A4555">
        <w:rPr>
          <w:lang w:val="en-GB"/>
        </w:rPr>
        <w:t>edited by</w:t>
      </w:r>
      <w:r w:rsidRPr="002A4555">
        <w:rPr>
          <w:lang w:val="en-GB"/>
        </w:rPr>
        <w:t xml:space="preserve">), </w:t>
      </w:r>
      <w:r w:rsidRPr="002A4555">
        <w:rPr>
          <w:i/>
          <w:spacing w:val="-5"/>
          <w:lang w:val="en-GB"/>
        </w:rPr>
        <w:t>Dimensioni del diritto</w:t>
      </w:r>
      <w:r w:rsidRPr="002A4555">
        <w:rPr>
          <w:lang w:val="en-GB"/>
        </w:rPr>
        <w:t>, Giappichelli, T</w:t>
      </w:r>
      <w:r w:rsidR="00385DCE" w:rsidRPr="002A4555">
        <w:rPr>
          <w:lang w:val="en-GB"/>
        </w:rPr>
        <w:t>u</w:t>
      </w:r>
      <w:r w:rsidRPr="002A4555">
        <w:rPr>
          <w:lang w:val="en-GB"/>
        </w:rPr>
        <w:t xml:space="preserve">rin, 2019. </w:t>
      </w:r>
      <w:r w:rsidR="007A54AB" w:rsidRPr="002A4555">
        <w:rPr>
          <w:b/>
          <w:lang w:val="en-GB"/>
        </w:rPr>
        <w:t>Study the entire</w:t>
      </w:r>
      <w:r w:rsidRPr="002A4555">
        <w:rPr>
          <w:b/>
          <w:lang w:val="en-GB"/>
        </w:rPr>
        <w:t xml:space="preserve"> volume</w:t>
      </w:r>
      <w:r w:rsidRPr="002A4555">
        <w:rPr>
          <w:lang w:val="en-GB"/>
        </w:rPr>
        <w:t>.</w:t>
      </w:r>
      <w:r w:rsidR="008E3065" w:rsidRPr="002A4555">
        <w:rPr>
          <w:lang w:val="en-GB"/>
        </w:rPr>
        <w:t xml:space="preserve"> </w:t>
      </w:r>
    </w:p>
    <w:p w14:paraId="31320B58" w14:textId="038BB742" w:rsidR="0011145C" w:rsidRPr="002A4555" w:rsidRDefault="0011145C" w:rsidP="0011145C">
      <w:pPr>
        <w:pStyle w:val="Testo1"/>
        <w:spacing w:before="0" w:line="240" w:lineRule="atLeast"/>
        <w:rPr>
          <w:b/>
          <w:bCs/>
          <w:lang w:val="en-GB"/>
        </w:rPr>
      </w:pPr>
      <w:r w:rsidRPr="002A4555">
        <w:rPr>
          <w:lang w:val="en-GB"/>
        </w:rPr>
        <w:t>2.</w:t>
      </w:r>
      <w:r w:rsidRPr="002A4555">
        <w:rPr>
          <w:lang w:val="en-GB"/>
        </w:rPr>
        <w:tab/>
        <w:t>G. Bombelli-P. Heritier (</w:t>
      </w:r>
      <w:r w:rsidR="00385DCE" w:rsidRPr="002A4555">
        <w:rPr>
          <w:lang w:val="en-GB"/>
        </w:rPr>
        <w:t>edited by</w:t>
      </w:r>
      <w:r w:rsidRPr="002A4555">
        <w:rPr>
          <w:lang w:val="en-GB"/>
        </w:rPr>
        <w:t xml:space="preserve">), </w:t>
      </w:r>
      <w:r w:rsidRPr="002A4555">
        <w:rPr>
          <w:i/>
          <w:iCs/>
          <w:lang w:val="en-GB"/>
        </w:rPr>
        <w:t>I volti molteplici della consuetudine</w:t>
      </w:r>
      <w:r w:rsidRPr="002A4555">
        <w:rPr>
          <w:lang w:val="en-GB"/>
        </w:rPr>
        <w:t xml:space="preserve">, Mimesis, Milan-Udine, 2022. </w:t>
      </w:r>
      <w:r w:rsidR="007A54AB" w:rsidRPr="002A4555">
        <w:rPr>
          <w:b/>
          <w:lang w:val="en-GB"/>
        </w:rPr>
        <w:t>Students are expected to study the following chapters of this volume</w:t>
      </w:r>
      <w:r w:rsidRPr="002A4555">
        <w:rPr>
          <w:b/>
          <w:bCs/>
          <w:lang w:val="en-GB"/>
        </w:rPr>
        <w:t xml:space="preserve">: </w:t>
      </w:r>
    </w:p>
    <w:p w14:paraId="67E9FD0B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i/>
          <w:iCs/>
          <w:lang w:val="en-GB"/>
        </w:rPr>
      </w:pPr>
      <w:r w:rsidRPr="002A4555">
        <w:rPr>
          <w:b/>
          <w:bCs/>
          <w:lang w:val="en-GB"/>
        </w:rPr>
        <w:t>P. Di Lucia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Il mistero della consuetudine. Rileggendo Bobbio filosofo della normatività</w:t>
      </w:r>
    </w:p>
    <w:p w14:paraId="169D732E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lang w:val="en-GB"/>
        </w:rPr>
      </w:pPr>
      <w:r w:rsidRPr="002A4555">
        <w:rPr>
          <w:b/>
          <w:bCs/>
          <w:lang w:val="en-GB"/>
        </w:rPr>
        <w:t>T. Gazzolo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La consuetudine origine del diritto?</w:t>
      </w:r>
    </w:p>
    <w:p w14:paraId="31585991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lang w:val="en-GB"/>
        </w:rPr>
      </w:pPr>
      <w:r w:rsidRPr="002A4555">
        <w:rPr>
          <w:b/>
          <w:bCs/>
          <w:lang w:val="en-GB"/>
        </w:rPr>
        <w:t>G. Bombelli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Consuetudine. Su alcuni profili cognitivi</w:t>
      </w:r>
    </w:p>
    <w:p w14:paraId="2570EFD0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lang w:val="en-GB"/>
        </w:rPr>
      </w:pPr>
      <w:r w:rsidRPr="002A4555">
        <w:rPr>
          <w:b/>
          <w:bCs/>
          <w:lang w:val="en-GB"/>
        </w:rPr>
        <w:t>A. Sammassimo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Aspetti peculiari della consuetudine nel diritto canonico</w:t>
      </w:r>
    </w:p>
    <w:p w14:paraId="78ACB3C2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i/>
          <w:iCs/>
          <w:lang w:val="en-GB"/>
        </w:rPr>
      </w:pPr>
      <w:r w:rsidRPr="002A4555">
        <w:rPr>
          <w:b/>
          <w:bCs/>
          <w:lang w:val="en-GB"/>
        </w:rPr>
        <w:t>L. Cornacchia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 xml:space="preserve">Consuetudine e </w:t>
      </w:r>
      <w:r w:rsidRPr="002A4555">
        <w:rPr>
          <w:lang w:val="en-GB"/>
        </w:rPr>
        <w:t>Law in Action</w:t>
      </w:r>
      <w:r w:rsidRPr="002A4555">
        <w:rPr>
          <w:i/>
          <w:iCs/>
          <w:lang w:val="en-GB"/>
        </w:rPr>
        <w:t xml:space="preserve"> in diritto penale</w:t>
      </w:r>
    </w:p>
    <w:p w14:paraId="14791855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i/>
          <w:iCs/>
          <w:lang w:val="en-GB"/>
        </w:rPr>
      </w:pPr>
      <w:r w:rsidRPr="002A4555">
        <w:rPr>
          <w:b/>
          <w:bCs/>
          <w:lang w:val="en-GB"/>
        </w:rPr>
        <w:t>Pollastro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La consuetudine: un’araba fenice</w:t>
      </w:r>
    </w:p>
    <w:p w14:paraId="04A73C4A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i/>
          <w:iCs/>
          <w:lang w:val="en-GB"/>
        </w:rPr>
      </w:pPr>
      <w:r w:rsidRPr="002A4555">
        <w:rPr>
          <w:b/>
          <w:bCs/>
          <w:lang w:val="en-GB"/>
        </w:rPr>
        <w:t>Rizzello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 xml:space="preserve">Consuetudine e </w:t>
      </w:r>
      <w:r w:rsidRPr="002A4555">
        <w:rPr>
          <w:lang w:val="en-GB"/>
        </w:rPr>
        <w:t>path dependence</w:t>
      </w:r>
      <w:r w:rsidRPr="002A4555">
        <w:rPr>
          <w:i/>
          <w:iCs/>
          <w:lang w:val="en-GB"/>
        </w:rPr>
        <w:t xml:space="preserve"> in economia</w:t>
      </w:r>
    </w:p>
    <w:p w14:paraId="1EC09A55" w14:textId="77777777" w:rsidR="0011145C" w:rsidRPr="002A4555" w:rsidRDefault="0011145C" w:rsidP="0011145C">
      <w:pPr>
        <w:pStyle w:val="Testo1"/>
        <w:spacing w:before="0" w:line="240" w:lineRule="atLeast"/>
        <w:ind w:firstLine="0"/>
        <w:rPr>
          <w:b/>
          <w:bCs/>
          <w:spacing w:val="-5"/>
          <w:lang w:val="en-GB"/>
        </w:rPr>
      </w:pPr>
      <w:r w:rsidRPr="002A4555">
        <w:rPr>
          <w:b/>
          <w:bCs/>
          <w:lang w:val="en-GB"/>
        </w:rPr>
        <w:t>Siniscalchi</w:t>
      </w:r>
      <w:r w:rsidRPr="002A4555">
        <w:rPr>
          <w:lang w:val="en-GB"/>
        </w:rPr>
        <w:t xml:space="preserve"> </w:t>
      </w:r>
      <w:r w:rsidRPr="002A4555">
        <w:rPr>
          <w:i/>
          <w:iCs/>
          <w:lang w:val="en-GB"/>
        </w:rPr>
        <w:t>La normatività del normale</w:t>
      </w:r>
    </w:p>
    <w:p w14:paraId="7944734F" w14:textId="1943B85B" w:rsidR="0011145C" w:rsidRPr="002A4555" w:rsidRDefault="0011145C" w:rsidP="0011145C">
      <w:pPr>
        <w:pStyle w:val="Testo1"/>
        <w:rPr>
          <w:lang w:val="en-GB"/>
        </w:rPr>
      </w:pPr>
      <w:r w:rsidRPr="002A4555">
        <w:rPr>
          <w:lang w:val="en-GB"/>
        </w:rPr>
        <w:t>N</w:t>
      </w:r>
      <w:r w:rsidR="007A54AB" w:rsidRPr="002A4555">
        <w:rPr>
          <w:lang w:val="en-GB"/>
        </w:rPr>
        <w:t>ote:</w:t>
      </w:r>
      <w:r w:rsidRPr="002A4555">
        <w:rPr>
          <w:lang w:val="en-GB"/>
        </w:rPr>
        <w:t xml:space="preserve"> </w:t>
      </w:r>
      <w:r w:rsidR="007A54AB" w:rsidRPr="002A4555">
        <w:rPr>
          <w:i/>
          <w:spacing w:val="-5"/>
          <w:lang w:val="en-GB"/>
        </w:rPr>
        <w:t>Students of other years of the course will study the programme of the corresponding year of attendance (</w:t>
      </w:r>
      <w:r w:rsidR="007A54AB" w:rsidRPr="002A4555">
        <w:rPr>
          <w:iCs/>
          <w:spacing w:val="-5"/>
          <w:lang w:val="en-GB"/>
        </w:rPr>
        <w:t>for programmes prior to the 2021-2022 a.y., contact the Student Guidbook Office</w:t>
      </w:r>
      <w:r w:rsidR="007A54AB" w:rsidRPr="002A4555">
        <w:rPr>
          <w:i/>
          <w:spacing w:val="-5"/>
          <w:lang w:val="en-GB"/>
        </w:rPr>
        <w:t>). Students from other Faculties are invited to contact the professor to define the programme</w:t>
      </w:r>
      <w:r w:rsidRPr="002A4555">
        <w:rPr>
          <w:i/>
          <w:spacing w:val="-5"/>
          <w:lang w:val="en-GB"/>
        </w:rPr>
        <w:t xml:space="preserve">. </w:t>
      </w:r>
    </w:p>
    <w:p w14:paraId="5208A625" w14:textId="7E9E1F43" w:rsidR="0011145C" w:rsidRPr="002A4555" w:rsidRDefault="00385DCE" w:rsidP="0011145C">
      <w:pPr>
        <w:spacing w:before="240" w:after="120" w:line="220" w:lineRule="exact"/>
        <w:rPr>
          <w:b/>
          <w:i/>
          <w:sz w:val="18"/>
          <w:lang w:val="en-GB"/>
        </w:rPr>
      </w:pPr>
      <w:bookmarkStart w:id="3" w:name="_Hlk76557191"/>
      <w:r w:rsidRPr="002A4555">
        <w:rPr>
          <w:b/>
          <w:i/>
          <w:sz w:val="18"/>
          <w:lang w:val="en-GB"/>
        </w:rPr>
        <w:t>TEACHING METHOD</w:t>
      </w:r>
      <w:bookmarkEnd w:id="3"/>
    </w:p>
    <w:p w14:paraId="30DAAA71" w14:textId="74BA3D27" w:rsidR="0011145C" w:rsidRPr="002A4555" w:rsidRDefault="00471D63" w:rsidP="0011145C">
      <w:pPr>
        <w:pStyle w:val="Testo2"/>
        <w:rPr>
          <w:lang w:val="en-GB"/>
        </w:rPr>
      </w:pPr>
      <w:r w:rsidRPr="002A4555">
        <w:rPr>
          <w:lang w:val="en-GB"/>
        </w:rPr>
        <w:t>The course includes classroom lessons aimed at encouraging discussion and offering in-depth materials also made available on the Blackboard platform</w:t>
      </w:r>
      <w:r w:rsidR="0011145C" w:rsidRPr="002A4555">
        <w:rPr>
          <w:lang w:val="en-GB"/>
        </w:rPr>
        <w:t xml:space="preserve">. </w:t>
      </w:r>
    </w:p>
    <w:p w14:paraId="4FC97217" w14:textId="263FE1AD" w:rsidR="0011145C" w:rsidRPr="002A4555" w:rsidRDefault="00471D63" w:rsidP="0011145C">
      <w:pPr>
        <w:pStyle w:val="Testo2"/>
        <w:rPr>
          <w:lang w:val="en-GB"/>
        </w:rPr>
      </w:pPr>
      <w:r w:rsidRPr="002A4555">
        <w:rPr>
          <w:lang w:val="en-GB"/>
        </w:rPr>
        <w:t>The course will be supplemented by seminars the structure of which will be communicated in class</w:t>
      </w:r>
      <w:r w:rsidR="0011145C" w:rsidRPr="002A4555">
        <w:rPr>
          <w:lang w:val="en-GB"/>
        </w:rPr>
        <w:t xml:space="preserve">. </w:t>
      </w:r>
    </w:p>
    <w:p w14:paraId="7E2AA94E" w14:textId="10A066EE" w:rsidR="0011145C" w:rsidRPr="002A4555" w:rsidRDefault="00385DCE" w:rsidP="0011145C">
      <w:pPr>
        <w:spacing w:before="240" w:after="120" w:line="220" w:lineRule="exact"/>
        <w:rPr>
          <w:b/>
          <w:i/>
          <w:sz w:val="18"/>
          <w:lang w:val="en-GB"/>
        </w:rPr>
      </w:pPr>
      <w:bookmarkStart w:id="4" w:name="_Hlk76557213"/>
      <w:r w:rsidRPr="002A4555">
        <w:rPr>
          <w:b/>
          <w:i/>
          <w:sz w:val="18"/>
          <w:lang w:val="en-GB"/>
        </w:rPr>
        <w:lastRenderedPageBreak/>
        <w:t>ASSESSMENT METHOD AND CRITERIA</w:t>
      </w:r>
      <w:bookmarkEnd w:id="4"/>
    </w:p>
    <w:p w14:paraId="45AE0414" w14:textId="68117324" w:rsidR="0011145C" w:rsidRPr="002A4555" w:rsidRDefault="00A460DC" w:rsidP="0011145C">
      <w:pPr>
        <w:pStyle w:val="Testo2"/>
        <w:tabs>
          <w:tab w:val="clear" w:pos="284"/>
        </w:tabs>
        <w:ind w:firstLine="0"/>
        <w:rPr>
          <w:lang w:val="en-GB"/>
        </w:rPr>
      </w:pPr>
      <w:r w:rsidRPr="002A4555">
        <w:rPr>
          <w:lang w:val="en-GB"/>
        </w:rPr>
        <w:t xml:space="preserve">The students’ preparation will be assessed at the end of the course through an oral exam focussed on the topics specified in the programme. The assessment will be based on a scale out of thirty, with the possible attribution of </w:t>
      </w:r>
      <w:r w:rsidR="004C3E41" w:rsidRPr="002A4555">
        <w:rPr>
          <w:lang w:val="en-GB"/>
        </w:rPr>
        <w:t>“</w:t>
      </w:r>
      <w:r w:rsidRPr="002A4555">
        <w:rPr>
          <w:lang w:val="en-GB"/>
        </w:rPr>
        <w:t>honours</w:t>
      </w:r>
      <w:r w:rsidR="004C3E41" w:rsidRPr="002A4555">
        <w:rPr>
          <w:lang w:val="en-GB"/>
        </w:rPr>
        <w:t>”</w:t>
      </w:r>
      <w:r w:rsidRPr="002A4555">
        <w:rPr>
          <w:lang w:val="en-GB"/>
        </w:rPr>
        <w:t xml:space="preserve">, based on the contents of the candidate's answers as well as </w:t>
      </w:r>
      <w:r w:rsidR="004C3E41" w:rsidRPr="002A4555">
        <w:rPr>
          <w:lang w:val="en-GB"/>
        </w:rPr>
        <w:t>their</w:t>
      </w:r>
      <w:r w:rsidRPr="002A4555">
        <w:rPr>
          <w:lang w:val="en-GB"/>
        </w:rPr>
        <w:t xml:space="preserve"> critical-argumentative ability and terminological </w:t>
      </w:r>
      <w:r w:rsidR="004C3E41" w:rsidRPr="002A4555">
        <w:rPr>
          <w:lang w:val="en-GB"/>
        </w:rPr>
        <w:t>accuracy</w:t>
      </w:r>
      <w:r w:rsidR="0011145C" w:rsidRPr="002A4555">
        <w:rPr>
          <w:lang w:val="en-GB"/>
        </w:rPr>
        <w:t>.</w:t>
      </w:r>
    </w:p>
    <w:p w14:paraId="3FDF5F16" w14:textId="5F8B3A98" w:rsidR="0011145C" w:rsidRPr="002A4555" w:rsidRDefault="00DF3D45" w:rsidP="0011145C">
      <w:pPr>
        <w:pStyle w:val="Testo2"/>
        <w:rPr>
          <w:lang w:val="en-GB"/>
        </w:rPr>
      </w:pPr>
      <w:r w:rsidRPr="002A4555">
        <w:rPr>
          <w:lang w:val="en-GB"/>
        </w:rPr>
        <w:t xml:space="preserve">Students with an </w:t>
      </w:r>
      <w:r w:rsidR="004C3E41" w:rsidRPr="002A4555">
        <w:rPr>
          <w:lang w:val="en-GB"/>
        </w:rPr>
        <w:t>understanding of the overall picture of the issues addressed in the course and of the related logical-thematic connections, the</w:t>
      </w:r>
      <w:r w:rsidRPr="002A4555">
        <w:rPr>
          <w:lang w:val="en-GB"/>
        </w:rPr>
        <w:t>ir</w:t>
      </w:r>
      <w:r w:rsidR="004C3E41" w:rsidRPr="002A4555">
        <w:rPr>
          <w:lang w:val="en-GB"/>
        </w:rPr>
        <w:t xml:space="preserve"> complete mastery of the philosophical-juridical method and lexicon</w:t>
      </w:r>
      <w:r w:rsidRPr="002A4555">
        <w:rPr>
          <w:lang w:val="en-GB"/>
        </w:rPr>
        <w:t>,</w:t>
      </w:r>
      <w:r w:rsidR="004C3E41" w:rsidRPr="002A4555">
        <w:rPr>
          <w:lang w:val="en-GB"/>
        </w:rPr>
        <w:t xml:space="preserve"> as well as the</w:t>
      </w:r>
      <w:r w:rsidRPr="002A4555">
        <w:rPr>
          <w:lang w:val="en-GB"/>
        </w:rPr>
        <w:t>ir</w:t>
      </w:r>
      <w:r w:rsidR="004C3E41" w:rsidRPr="002A4555">
        <w:rPr>
          <w:lang w:val="en-GB"/>
        </w:rPr>
        <w:t xml:space="preserve"> ability to re-elaborate the issues addressed </w:t>
      </w:r>
      <w:r w:rsidR="005B5B33" w:rsidRPr="002A4555">
        <w:rPr>
          <w:lang w:val="en-GB"/>
        </w:rPr>
        <w:t xml:space="preserve">with a </w:t>
      </w:r>
      <w:r w:rsidR="004C3E41" w:rsidRPr="002A4555">
        <w:rPr>
          <w:lang w:val="en-GB"/>
        </w:rPr>
        <w:t xml:space="preserve">critical </w:t>
      </w:r>
      <w:r w:rsidR="005B5B33" w:rsidRPr="002A4555">
        <w:rPr>
          <w:lang w:val="en-GB"/>
        </w:rPr>
        <w:t>approach</w:t>
      </w:r>
      <w:r w:rsidR="004C3E41" w:rsidRPr="002A4555">
        <w:rPr>
          <w:lang w:val="en-GB"/>
        </w:rPr>
        <w:t xml:space="preserve">, will </w:t>
      </w:r>
      <w:r w:rsidRPr="002A4555">
        <w:rPr>
          <w:lang w:val="en-GB"/>
        </w:rPr>
        <w:t>obtain</w:t>
      </w:r>
      <w:r w:rsidR="005B5B33" w:rsidRPr="002A4555">
        <w:rPr>
          <w:lang w:val="en-GB"/>
        </w:rPr>
        <w:t xml:space="preserve"> </w:t>
      </w:r>
      <w:r w:rsidR="002C1430" w:rsidRPr="002A4555">
        <w:rPr>
          <w:lang w:val="en-GB"/>
        </w:rPr>
        <w:t>an “</w:t>
      </w:r>
      <w:r w:rsidR="005B5B33" w:rsidRPr="002A4555">
        <w:rPr>
          <w:lang w:val="en-GB"/>
        </w:rPr>
        <w:t>excellent</w:t>
      </w:r>
      <w:r w:rsidR="002C1430" w:rsidRPr="002A4555">
        <w:rPr>
          <w:lang w:val="en-GB"/>
        </w:rPr>
        <w:t>”</w:t>
      </w:r>
      <w:r w:rsidR="005B5B33" w:rsidRPr="002A4555">
        <w:rPr>
          <w:lang w:val="en-GB"/>
        </w:rPr>
        <w:t xml:space="preserve"> assessment</w:t>
      </w:r>
      <w:r w:rsidR="0011145C" w:rsidRPr="002A4555">
        <w:rPr>
          <w:lang w:val="en-GB"/>
        </w:rPr>
        <w:t>.</w:t>
      </w:r>
    </w:p>
    <w:p w14:paraId="774FB770" w14:textId="74A82588" w:rsidR="0011145C" w:rsidRPr="002A4555" w:rsidRDefault="009F2EE4" w:rsidP="0011145C">
      <w:pPr>
        <w:pStyle w:val="Testo2"/>
        <w:rPr>
          <w:lang w:val="en-GB"/>
        </w:rPr>
      </w:pPr>
      <w:r w:rsidRPr="002A4555">
        <w:rPr>
          <w:lang w:val="en-GB"/>
        </w:rPr>
        <w:t>Students with a</w:t>
      </w:r>
      <w:r w:rsidR="005B5B33" w:rsidRPr="002A4555">
        <w:rPr>
          <w:lang w:val="en-GB"/>
        </w:rPr>
        <w:t xml:space="preserve"> gap-free knowledge of the structural points of the course, supported by a methodological approach and by a substantial although incomplete and partially inaccurate logical-argumentative and linguistic ability, will </w:t>
      </w:r>
      <w:r w:rsidRPr="002A4555">
        <w:rPr>
          <w:lang w:val="en-GB"/>
        </w:rPr>
        <w:t>obtain</w:t>
      </w:r>
      <w:r w:rsidR="002C1430" w:rsidRPr="002A4555">
        <w:rPr>
          <w:lang w:val="en-GB"/>
        </w:rPr>
        <w:t xml:space="preserve"> </w:t>
      </w:r>
      <w:r w:rsidR="005B5B33" w:rsidRPr="002A4555">
        <w:rPr>
          <w:lang w:val="en-GB"/>
        </w:rPr>
        <w:t xml:space="preserve">a </w:t>
      </w:r>
      <w:r w:rsidR="002C1430" w:rsidRPr="002A4555">
        <w:rPr>
          <w:lang w:val="en-GB"/>
        </w:rPr>
        <w:t>“</w:t>
      </w:r>
      <w:r w:rsidR="005B5B33" w:rsidRPr="002A4555">
        <w:rPr>
          <w:lang w:val="en-GB"/>
        </w:rPr>
        <w:t>fair</w:t>
      </w:r>
      <w:r w:rsidR="002C1430" w:rsidRPr="002A4555">
        <w:rPr>
          <w:lang w:val="en-GB"/>
        </w:rPr>
        <w:t>”</w:t>
      </w:r>
      <w:r w:rsidR="005B5B33" w:rsidRPr="002A4555">
        <w:rPr>
          <w:lang w:val="en-GB"/>
        </w:rPr>
        <w:t xml:space="preserve"> </w:t>
      </w:r>
      <w:r w:rsidR="002C1430" w:rsidRPr="002A4555">
        <w:rPr>
          <w:lang w:val="en-GB"/>
        </w:rPr>
        <w:t>assessment</w:t>
      </w:r>
      <w:r w:rsidR="0011145C" w:rsidRPr="002A4555">
        <w:rPr>
          <w:lang w:val="en-GB"/>
        </w:rPr>
        <w:t>.</w:t>
      </w:r>
    </w:p>
    <w:p w14:paraId="483D4BD5" w14:textId="0305CC49" w:rsidR="0011145C" w:rsidRPr="002A4555" w:rsidRDefault="002C1430" w:rsidP="0011145C">
      <w:pPr>
        <w:pStyle w:val="Testo2"/>
        <w:rPr>
          <w:lang w:val="en-GB"/>
        </w:rPr>
      </w:pPr>
      <w:r w:rsidRPr="002A4555">
        <w:rPr>
          <w:lang w:val="en-GB"/>
        </w:rPr>
        <w:t xml:space="preserve"> Students with minimum knowledge of indispensable elements of the course, with gaps relating to delimited parts of the programme and in terms of critical and linguistic-argumentative ability, will achieve a “sufficient” assessment.</w:t>
      </w:r>
    </w:p>
    <w:p w14:paraId="729305DD" w14:textId="7F7E1DAE" w:rsidR="0011145C" w:rsidRPr="002A4555" w:rsidRDefault="00E75841" w:rsidP="0011145C">
      <w:pPr>
        <w:pStyle w:val="Testo2"/>
        <w:rPr>
          <w:lang w:val="en-GB"/>
        </w:rPr>
      </w:pPr>
      <w:r w:rsidRPr="002A4555">
        <w:rPr>
          <w:lang w:val="en-GB"/>
        </w:rPr>
        <w:t>S</w:t>
      </w:r>
      <w:r w:rsidR="00690D1A" w:rsidRPr="002A4555">
        <w:rPr>
          <w:lang w:val="en-GB"/>
        </w:rPr>
        <w:t>tudent</w:t>
      </w:r>
      <w:r w:rsidRPr="002A4555">
        <w:rPr>
          <w:lang w:val="en-GB"/>
        </w:rPr>
        <w:t>s who</w:t>
      </w:r>
      <w:r w:rsidR="00690D1A" w:rsidRPr="002A4555">
        <w:rPr>
          <w:lang w:val="en-GB"/>
        </w:rPr>
        <w:t xml:space="preserve"> show a highly </w:t>
      </w:r>
      <w:r w:rsidRPr="002A4555">
        <w:rPr>
          <w:lang w:val="en-GB"/>
        </w:rPr>
        <w:t>inadequate</w:t>
      </w:r>
      <w:r w:rsidR="00690D1A" w:rsidRPr="002A4555">
        <w:rPr>
          <w:lang w:val="en-GB"/>
        </w:rPr>
        <w:t xml:space="preserve"> preparation</w:t>
      </w:r>
      <w:r w:rsidRPr="002A4555">
        <w:rPr>
          <w:lang w:val="en-GB"/>
        </w:rPr>
        <w:t xml:space="preserve"> concerning </w:t>
      </w:r>
      <w:r w:rsidR="00690D1A" w:rsidRPr="002A4555">
        <w:rPr>
          <w:lang w:val="en-GB"/>
        </w:rPr>
        <w:t xml:space="preserve">the fundamental contents of the course </w:t>
      </w:r>
      <w:r w:rsidRPr="002A4555">
        <w:rPr>
          <w:lang w:val="en-GB"/>
        </w:rPr>
        <w:t>including</w:t>
      </w:r>
      <w:r w:rsidR="00690D1A" w:rsidRPr="002A4555">
        <w:rPr>
          <w:lang w:val="en-GB"/>
        </w:rPr>
        <w:t xml:space="preserve"> the related critical-methodological issues as well as in the use of philosophical-legal language, </w:t>
      </w:r>
      <w:r w:rsidRPr="002A4555">
        <w:rPr>
          <w:lang w:val="en-GB"/>
        </w:rPr>
        <w:t xml:space="preserve">will obtain an </w:t>
      </w:r>
      <w:r w:rsidR="00690D1A" w:rsidRPr="002A4555">
        <w:rPr>
          <w:lang w:val="en-GB"/>
        </w:rPr>
        <w:t xml:space="preserve">insufficient </w:t>
      </w:r>
      <w:r w:rsidRPr="002A4555">
        <w:rPr>
          <w:lang w:val="en-GB"/>
        </w:rPr>
        <w:t>assessment</w:t>
      </w:r>
      <w:r w:rsidR="0011145C" w:rsidRPr="002A4555">
        <w:rPr>
          <w:lang w:val="en-GB"/>
        </w:rPr>
        <w:t>.</w:t>
      </w:r>
    </w:p>
    <w:p w14:paraId="0D54E72D" w14:textId="34A406D8" w:rsidR="0011145C" w:rsidRPr="002A4555" w:rsidRDefault="00385DCE" w:rsidP="0011145C">
      <w:pPr>
        <w:spacing w:before="240" w:after="120"/>
        <w:rPr>
          <w:b/>
          <w:i/>
          <w:sz w:val="18"/>
          <w:lang w:val="en-GB"/>
        </w:rPr>
      </w:pPr>
      <w:bookmarkStart w:id="5" w:name="_Hlk76557228"/>
      <w:r w:rsidRPr="002A4555">
        <w:rPr>
          <w:b/>
          <w:i/>
          <w:sz w:val="18"/>
          <w:lang w:val="en-GB"/>
        </w:rPr>
        <w:t>NOTES AND PREREQUISITES</w:t>
      </w:r>
      <w:bookmarkEnd w:id="5"/>
    </w:p>
    <w:p w14:paraId="0D354E71" w14:textId="1F26A1B1" w:rsidR="0011145C" w:rsidRPr="002A4555" w:rsidRDefault="009F2EE4" w:rsidP="0011145C">
      <w:pPr>
        <w:pStyle w:val="Testo2"/>
        <w:rPr>
          <w:lang w:val="en-GB"/>
        </w:rPr>
      </w:pPr>
      <w:r w:rsidRPr="002A4555">
        <w:rPr>
          <w:lang w:val="en-GB"/>
        </w:rPr>
        <w:t>Since t</w:t>
      </w:r>
      <w:r w:rsidR="00E75841" w:rsidRPr="002A4555">
        <w:rPr>
          <w:lang w:val="en-GB"/>
        </w:rPr>
        <w:t>he course is introductory</w:t>
      </w:r>
      <w:r w:rsidRPr="002A4555">
        <w:rPr>
          <w:lang w:val="en-GB"/>
        </w:rPr>
        <w:t xml:space="preserve"> there are no </w:t>
      </w:r>
      <w:r w:rsidR="00E75841" w:rsidRPr="002A4555">
        <w:rPr>
          <w:lang w:val="en-GB"/>
        </w:rPr>
        <w:t>specific prerequisites</w:t>
      </w:r>
      <w:r w:rsidRPr="002A4555">
        <w:rPr>
          <w:lang w:val="en-GB"/>
        </w:rPr>
        <w:t xml:space="preserve"> for attending it</w:t>
      </w:r>
      <w:r w:rsidR="00E75841" w:rsidRPr="002A4555">
        <w:rPr>
          <w:lang w:val="en-GB"/>
        </w:rPr>
        <w:t xml:space="preserve">. However, </w:t>
      </w:r>
      <w:r w:rsidR="00655820" w:rsidRPr="002A4555">
        <w:rPr>
          <w:lang w:val="en-GB"/>
        </w:rPr>
        <w:t xml:space="preserve">students are advised </w:t>
      </w:r>
      <w:r w:rsidR="00E75841" w:rsidRPr="002A4555">
        <w:rPr>
          <w:lang w:val="en-GB"/>
        </w:rPr>
        <w:t>to acquire a minimal knowledge of the main philosophical orientations using topic-related manuals.</w:t>
      </w:r>
    </w:p>
    <w:p w14:paraId="45DFCA89" w14:textId="4F8B696B" w:rsidR="0011145C" w:rsidRPr="002A4555" w:rsidRDefault="008E3065" w:rsidP="008E3065">
      <w:pPr>
        <w:pStyle w:val="Testo2"/>
        <w:spacing w:before="120"/>
        <w:rPr>
          <w:lang w:val="en-GB"/>
        </w:rPr>
      </w:pPr>
      <w:r w:rsidRPr="002A4555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11145C" w:rsidRPr="002A455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5115" w14:textId="77777777" w:rsidR="000812D3" w:rsidRDefault="000812D3" w:rsidP="00CB635F">
      <w:pPr>
        <w:spacing w:line="240" w:lineRule="auto"/>
      </w:pPr>
      <w:r>
        <w:separator/>
      </w:r>
    </w:p>
  </w:endnote>
  <w:endnote w:type="continuationSeparator" w:id="0">
    <w:p w14:paraId="1EF6AE2F" w14:textId="77777777" w:rsidR="000812D3" w:rsidRDefault="000812D3" w:rsidP="00CB6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4772" w14:textId="77777777" w:rsidR="000812D3" w:rsidRDefault="000812D3" w:rsidP="00CB635F">
      <w:pPr>
        <w:spacing w:line="240" w:lineRule="auto"/>
      </w:pPr>
      <w:r>
        <w:separator/>
      </w:r>
    </w:p>
  </w:footnote>
  <w:footnote w:type="continuationSeparator" w:id="0">
    <w:p w14:paraId="001F31F5" w14:textId="77777777" w:rsidR="000812D3" w:rsidRDefault="000812D3" w:rsidP="00CB6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31D9"/>
    <w:multiLevelType w:val="hybridMultilevel"/>
    <w:tmpl w:val="8606357C"/>
    <w:lvl w:ilvl="0" w:tplc="A3CE99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84345"/>
    <w:multiLevelType w:val="hybridMultilevel"/>
    <w:tmpl w:val="BC8CE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8427">
    <w:abstractNumId w:val="0"/>
  </w:num>
  <w:num w:numId="2" w16cid:durableId="92865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E"/>
    <w:rsid w:val="0002152A"/>
    <w:rsid w:val="00035535"/>
    <w:rsid w:val="00074690"/>
    <w:rsid w:val="000812D3"/>
    <w:rsid w:val="00090223"/>
    <w:rsid w:val="00092879"/>
    <w:rsid w:val="000B3C07"/>
    <w:rsid w:val="000B7346"/>
    <w:rsid w:val="000D79E0"/>
    <w:rsid w:val="000F7169"/>
    <w:rsid w:val="0011145C"/>
    <w:rsid w:val="0012431A"/>
    <w:rsid w:val="00125844"/>
    <w:rsid w:val="00132131"/>
    <w:rsid w:val="00135647"/>
    <w:rsid w:val="00151BBA"/>
    <w:rsid w:val="00162F45"/>
    <w:rsid w:val="00187B99"/>
    <w:rsid w:val="00196F04"/>
    <w:rsid w:val="001A193E"/>
    <w:rsid w:val="001B12C8"/>
    <w:rsid w:val="001B4E9D"/>
    <w:rsid w:val="001C0F8B"/>
    <w:rsid w:val="001F03C7"/>
    <w:rsid w:val="002014DD"/>
    <w:rsid w:val="00213DC8"/>
    <w:rsid w:val="002157EF"/>
    <w:rsid w:val="002809BF"/>
    <w:rsid w:val="0029756D"/>
    <w:rsid w:val="002A13D0"/>
    <w:rsid w:val="002A4555"/>
    <w:rsid w:val="002B5F23"/>
    <w:rsid w:val="002B6FB4"/>
    <w:rsid w:val="002B7B39"/>
    <w:rsid w:val="002C1430"/>
    <w:rsid w:val="002C61AD"/>
    <w:rsid w:val="002D2E74"/>
    <w:rsid w:val="002D557C"/>
    <w:rsid w:val="002D5E17"/>
    <w:rsid w:val="002D7D52"/>
    <w:rsid w:val="002F4756"/>
    <w:rsid w:val="00333E97"/>
    <w:rsid w:val="00336348"/>
    <w:rsid w:val="00342615"/>
    <w:rsid w:val="00355402"/>
    <w:rsid w:val="00385DCE"/>
    <w:rsid w:val="00414CE7"/>
    <w:rsid w:val="004366C1"/>
    <w:rsid w:val="00460646"/>
    <w:rsid w:val="004649F8"/>
    <w:rsid w:val="0046535C"/>
    <w:rsid w:val="00471D63"/>
    <w:rsid w:val="004811D2"/>
    <w:rsid w:val="00484BCE"/>
    <w:rsid w:val="004A6AE0"/>
    <w:rsid w:val="004C3E41"/>
    <w:rsid w:val="004D1217"/>
    <w:rsid w:val="004D6008"/>
    <w:rsid w:val="005019F9"/>
    <w:rsid w:val="0053557D"/>
    <w:rsid w:val="00545C7C"/>
    <w:rsid w:val="005638BB"/>
    <w:rsid w:val="005B33B7"/>
    <w:rsid w:val="005B5B33"/>
    <w:rsid w:val="005C71C9"/>
    <w:rsid w:val="005E253D"/>
    <w:rsid w:val="005F2711"/>
    <w:rsid w:val="00640794"/>
    <w:rsid w:val="00655820"/>
    <w:rsid w:val="006647DB"/>
    <w:rsid w:val="00690D1A"/>
    <w:rsid w:val="006A6FA8"/>
    <w:rsid w:val="006B041E"/>
    <w:rsid w:val="006D1F61"/>
    <w:rsid w:val="006D6CEA"/>
    <w:rsid w:val="006E3C30"/>
    <w:rsid w:val="006F1772"/>
    <w:rsid w:val="006F69DF"/>
    <w:rsid w:val="00755CBE"/>
    <w:rsid w:val="00756A78"/>
    <w:rsid w:val="00785FDF"/>
    <w:rsid w:val="007A54AB"/>
    <w:rsid w:val="007A7462"/>
    <w:rsid w:val="007C0091"/>
    <w:rsid w:val="007C2DAC"/>
    <w:rsid w:val="008024D9"/>
    <w:rsid w:val="008038D0"/>
    <w:rsid w:val="008229D0"/>
    <w:rsid w:val="00824487"/>
    <w:rsid w:val="008342DD"/>
    <w:rsid w:val="008942E7"/>
    <w:rsid w:val="008A1204"/>
    <w:rsid w:val="008B6C6B"/>
    <w:rsid w:val="008C0BBD"/>
    <w:rsid w:val="008D0D9C"/>
    <w:rsid w:val="008E3065"/>
    <w:rsid w:val="00900CCA"/>
    <w:rsid w:val="00923E11"/>
    <w:rsid w:val="00924B77"/>
    <w:rsid w:val="009408C5"/>
    <w:rsid w:val="00940DA2"/>
    <w:rsid w:val="009410CB"/>
    <w:rsid w:val="00951C13"/>
    <w:rsid w:val="0097019D"/>
    <w:rsid w:val="009716B6"/>
    <w:rsid w:val="00976A94"/>
    <w:rsid w:val="009903D4"/>
    <w:rsid w:val="009A1F74"/>
    <w:rsid w:val="009C3FD8"/>
    <w:rsid w:val="009E055C"/>
    <w:rsid w:val="009F2EE4"/>
    <w:rsid w:val="00A036D0"/>
    <w:rsid w:val="00A06AAB"/>
    <w:rsid w:val="00A460DC"/>
    <w:rsid w:val="00A74F6F"/>
    <w:rsid w:val="00A754F7"/>
    <w:rsid w:val="00A76B7C"/>
    <w:rsid w:val="00AA7742"/>
    <w:rsid w:val="00AA7873"/>
    <w:rsid w:val="00AC0187"/>
    <w:rsid w:val="00AD7557"/>
    <w:rsid w:val="00B102E4"/>
    <w:rsid w:val="00B217E2"/>
    <w:rsid w:val="00B42901"/>
    <w:rsid w:val="00B50C5D"/>
    <w:rsid w:val="00B51253"/>
    <w:rsid w:val="00B525CC"/>
    <w:rsid w:val="00B60599"/>
    <w:rsid w:val="00B92E09"/>
    <w:rsid w:val="00BA2389"/>
    <w:rsid w:val="00BA330C"/>
    <w:rsid w:val="00BC09DD"/>
    <w:rsid w:val="00BD36E4"/>
    <w:rsid w:val="00C30B7B"/>
    <w:rsid w:val="00C32EFF"/>
    <w:rsid w:val="00C336FB"/>
    <w:rsid w:val="00C45512"/>
    <w:rsid w:val="00C63D19"/>
    <w:rsid w:val="00C66EAE"/>
    <w:rsid w:val="00C8279A"/>
    <w:rsid w:val="00C837CA"/>
    <w:rsid w:val="00C9530B"/>
    <w:rsid w:val="00CB635F"/>
    <w:rsid w:val="00CF0429"/>
    <w:rsid w:val="00CF688C"/>
    <w:rsid w:val="00D07153"/>
    <w:rsid w:val="00D2086A"/>
    <w:rsid w:val="00D318CD"/>
    <w:rsid w:val="00D404F2"/>
    <w:rsid w:val="00D64AA4"/>
    <w:rsid w:val="00D66439"/>
    <w:rsid w:val="00D66CFA"/>
    <w:rsid w:val="00D96F2B"/>
    <w:rsid w:val="00DF3D45"/>
    <w:rsid w:val="00E11B8D"/>
    <w:rsid w:val="00E22B45"/>
    <w:rsid w:val="00E37638"/>
    <w:rsid w:val="00E517B4"/>
    <w:rsid w:val="00E607E6"/>
    <w:rsid w:val="00E75841"/>
    <w:rsid w:val="00EC0896"/>
    <w:rsid w:val="00ED015C"/>
    <w:rsid w:val="00ED0D8F"/>
    <w:rsid w:val="00EE0EC1"/>
    <w:rsid w:val="00F21669"/>
    <w:rsid w:val="00F264DE"/>
    <w:rsid w:val="00F26FA7"/>
    <w:rsid w:val="00F51FAD"/>
    <w:rsid w:val="00F73985"/>
    <w:rsid w:val="00FE2223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FC6CC"/>
  <w15:docId w15:val="{F28159DF-97D4-47D0-8558-24B62DB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6C4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qFormat/>
    <w:rsid w:val="00FF6C48"/>
    <w:rPr>
      <w:i/>
      <w:iCs/>
    </w:rPr>
  </w:style>
  <w:style w:type="paragraph" w:styleId="Paragrafoelenco">
    <w:name w:val="List Paragraph"/>
    <w:basedOn w:val="Normale"/>
    <w:uiPriority w:val="34"/>
    <w:qFormat/>
    <w:rsid w:val="00BD3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B63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35F"/>
  </w:style>
  <w:style w:type="character" w:styleId="Rimandonotaapidipagina">
    <w:name w:val="footnote reference"/>
    <w:basedOn w:val="Carpredefinitoparagrafo"/>
    <w:rsid w:val="00CB635F"/>
    <w:rPr>
      <w:vertAlign w:val="superscript"/>
    </w:rPr>
  </w:style>
  <w:style w:type="character" w:styleId="Collegamentoipertestuale">
    <w:name w:val="Hyperlink"/>
    <w:basedOn w:val="Carpredefinitoparagrafo"/>
    <w:rsid w:val="00CB635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2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E167-0490-4656-95BF-DB74D810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937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3</cp:revision>
  <cp:lastPrinted>2003-03-27T10:42:00Z</cp:lastPrinted>
  <dcterms:created xsi:type="dcterms:W3CDTF">2023-04-20T14:46:00Z</dcterms:created>
  <dcterms:modified xsi:type="dcterms:W3CDTF">2023-07-27T12:58:00Z</dcterms:modified>
</cp:coreProperties>
</file>