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3F6E" w14:textId="2C221179" w:rsidR="001E4A31" w:rsidRPr="009D2EC4" w:rsidRDefault="002B262F">
      <w:pPr>
        <w:pStyle w:val="Titolo1"/>
        <w:rPr>
          <w:lang w:val="en-GB"/>
        </w:rPr>
      </w:pPr>
      <w:r w:rsidRPr="009D2EC4">
        <w:rPr>
          <w:lang w:val="en-GB"/>
        </w:rPr>
        <w:t>Seminar: The electronic administrative process</w:t>
      </w:r>
    </w:p>
    <w:p w14:paraId="1C8C2869" w14:textId="72A843C3" w:rsidR="001E4A31" w:rsidRDefault="002B262F">
      <w:pPr>
        <w:pStyle w:val="Titolo2"/>
        <w:rPr>
          <w:lang w:val="en-GB"/>
        </w:rPr>
      </w:pPr>
      <w:r w:rsidRPr="009D2EC4">
        <w:rPr>
          <w:lang w:val="en-GB"/>
        </w:rPr>
        <w:t>Prof. Giovanni D’Angelo; Dr Laura Patelli</w:t>
      </w:r>
    </w:p>
    <w:p w14:paraId="274F78E8" w14:textId="77777777" w:rsidR="001E4A31" w:rsidRPr="009D2EC4" w:rsidRDefault="002B262F">
      <w:pPr>
        <w:pStyle w:val="P68B1DB1-Normale1"/>
        <w:spacing w:before="240" w:after="120"/>
        <w:rPr>
          <w:lang w:val="en-GB"/>
        </w:rPr>
      </w:pPr>
      <w:r w:rsidRPr="009D2EC4">
        <w:rPr>
          <w:lang w:val="en-GB"/>
        </w:rPr>
        <w:t>COURSE AIMS AND INTENDED LEARNING OUTCOMES</w:t>
      </w:r>
    </w:p>
    <w:p w14:paraId="17809CE2" w14:textId="6A1C66AC" w:rsidR="001E4A31" w:rsidRPr="009D2EC4" w:rsidRDefault="002B262F">
      <w:pPr>
        <w:spacing w:line="252" w:lineRule="auto"/>
        <w:ind w:left="-6" w:right="-11" w:hanging="11"/>
        <w:rPr>
          <w:lang w:val="en-GB"/>
        </w:rPr>
      </w:pPr>
      <w:r w:rsidRPr="009D2EC4">
        <w:rPr>
          <w:lang w:val="en-GB"/>
        </w:rPr>
        <w:t xml:space="preserve">The seminar aims to illustrate the fundamental characteristics of the telematic administrative process, introduced from 1st January 2017 and now fully operational. </w:t>
      </w:r>
    </w:p>
    <w:p w14:paraId="1BD52DFD" w14:textId="7E7137CF" w:rsidR="001E4A31" w:rsidRPr="009D2EC4" w:rsidRDefault="002B262F">
      <w:pPr>
        <w:spacing w:after="197" w:line="252" w:lineRule="auto"/>
        <w:ind w:left="-5" w:right="-13" w:hanging="10"/>
        <w:rPr>
          <w:lang w:val="en-GB"/>
        </w:rPr>
      </w:pPr>
      <w:r w:rsidRPr="009D2EC4">
        <w:rPr>
          <w:lang w:val="en-GB"/>
        </w:rPr>
        <w:t>Upon conclusion of the lectures, students will have acquired a basic knowledge of the provisions of the telematic administrative process, of the technical-operational rules, and of the most relevant critical profiles related to the digitisation and computerisation of procedural obligations; they will also be able to describe the conduct of a dispute with these characteristics before the administrative judge.</w:t>
      </w:r>
    </w:p>
    <w:p w14:paraId="0564EA81" w14:textId="77777777" w:rsidR="001E4A31" w:rsidRPr="009D2EC4" w:rsidRDefault="002B262F">
      <w:pPr>
        <w:pStyle w:val="P68B1DB1-Normale1"/>
        <w:spacing w:before="240" w:after="120"/>
        <w:rPr>
          <w:lang w:val="en-GB"/>
        </w:rPr>
      </w:pPr>
      <w:r w:rsidRPr="009D2EC4">
        <w:rPr>
          <w:lang w:val="en-GB"/>
        </w:rPr>
        <w:t>COURSE CONTENT</w:t>
      </w:r>
    </w:p>
    <w:p w14:paraId="07BFB63E" w14:textId="789145A0" w:rsidR="001E4A31" w:rsidRPr="009D2EC4" w:rsidRDefault="002B262F">
      <w:pPr>
        <w:rPr>
          <w:lang w:val="en-GB"/>
        </w:rPr>
      </w:pPr>
      <w:r w:rsidRPr="009D2EC4">
        <w:rPr>
          <w:lang w:val="en-GB"/>
        </w:rPr>
        <w:t>During the seminar, the fundamental profiles of the electronic administrative process will be illustrated, also in relation to the procedural institutions dealt with in the Administrative Law 2 course. For example: filing forms, digital domicile, communications and notifications, the digital signature, the filing of expiring deeds, power of attorney at the bottom or in the margin of the digital deed, the computer file, remote hearing.</w:t>
      </w:r>
    </w:p>
    <w:p w14:paraId="1D06F02B" w14:textId="444FB4A8" w:rsidR="001E4A31" w:rsidRPr="009D2EC4" w:rsidRDefault="002B262F">
      <w:pPr>
        <w:pStyle w:val="P68B1DB1-Normale1"/>
        <w:keepNext/>
        <w:spacing w:before="240" w:after="120"/>
        <w:rPr>
          <w:lang w:val="en-GB"/>
        </w:rPr>
      </w:pPr>
      <w:r w:rsidRPr="009D2EC4">
        <w:rPr>
          <w:lang w:val="en-GB"/>
        </w:rPr>
        <w:t>READING LIST</w:t>
      </w:r>
    </w:p>
    <w:p w14:paraId="4CC5DCEE" w14:textId="28B59029" w:rsidR="001E4A31" w:rsidRPr="009D2EC4" w:rsidRDefault="002B262F" w:rsidP="002B262F">
      <w:pPr>
        <w:pStyle w:val="Testo1"/>
        <w:rPr>
          <w:lang w:val="en-GB"/>
        </w:rPr>
      </w:pPr>
      <w:r w:rsidRPr="009D2EC4">
        <w:rPr>
          <w:lang w:val="en-GB"/>
        </w:rPr>
        <w:t>The material to study will consist of slides, legislative texts and case law, which will be illustrated to students during the lectures</w:t>
      </w:r>
      <w:r w:rsidRPr="009D2EC4">
        <w:rPr>
          <w:rFonts w:cs="Times"/>
          <w:lang w:val="en-GB"/>
        </w:rPr>
        <w:t xml:space="preserve"> and made available on </w:t>
      </w:r>
      <w:r w:rsidRPr="00620442">
        <w:rPr>
          <w:rFonts w:cs="Times"/>
          <w:iCs/>
          <w:lang w:val="en-GB"/>
        </w:rPr>
        <w:t>Blackboard</w:t>
      </w:r>
      <w:r w:rsidRPr="009D2EC4">
        <w:rPr>
          <w:rFonts w:cs="Times"/>
          <w:lang w:val="en-GB"/>
        </w:rPr>
        <w:t>.</w:t>
      </w:r>
    </w:p>
    <w:p w14:paraId="0BC07E03" w14:textId="77777777" w:rsidR="001E4A31" w:rsidRPr="009D2EC4" w:rsidRDefault="002B262F">
      <w:pPr>
        <w:pStyle w:val="P68B1DB1-Normale1"/>
        <w:spacing w:before="240" w:after="120"/>
        <w:rPr>
          <w:lang w:val="en-GB"/>
        </w:rPr>
      </w:pPr>
      <w:r w:rsidRPr="009D2EC4">
        <w:rPr>
          <w:lang w:val="en-GB"/>
        </w:rPr>
        <w:t>TEACHING METHOD</w:t>
      </w:r>
    </w:p>
    <w:p w14:paraId="220A4D65" w14:textId="27572893" w:rsidR="001E4A31" w:rsidRPr="009D2EC4" w:rsidRDefault="002B262F">
      <w:pPr>
        <w:pStyle w:val="Testo2"/>
        <w:rPr>
          <w:lang w:val="en-GB"/>
        </w:rPr>
      </w:pPr>
      <w:r w:rsidRPr="009D2EC4">
        <w:rPr>
          <w:lang w:val="en-GB"/>
        </w:rPr>
        <w:t xml:space="preserve">The seminar includes ten hours of lectures and the awarding of 1 ECTS. During the lectures, ample space will be given to analysing sectoral legislation and presenting the most relevant jurisprudential cases. </w:t>
      </w:r>
    </w:p>
    <w:p w14:paraId="113D3479" w14:textId="77777777" w:rsidR="001E4A31" w:rsidRPr="009D2EC4" w:rsidRDefault="002B262F">
      <w:pPr>
        <w:pStyle w:val="P68B1DB1-Normale1"/>
        <w:spacing w:before="240" w:after="120"/>
        <w:rPr>
          <w:lang w:val="en-GB"/>
        </w:rPr>
      </w:pPr>
      <w:r w:rsidRPr="009D2EC4">
        <w:rPr>
          <w:lang w:val="en-GB"/>
        </w:rPr>
        <w:t>ASSESSMENT METHOD AND CRITERIA</w:t>
      </w:r>
    </w:p>
    <w:p w14:paraId="27479176" w14:textId="572A0579" w:rsidR="001E4A31" w:rsidRPr="009D2EC4" w:rsidRDefault="002B262F">
      <w:pPr>
        <w:pStyle w:val="Testo2"/>
        <w:rPr>
          <w:lang w:val="en-GB"/>
        </w:rPr>
      </w:pPr>
      <w:r w:rsidRPr="009D2EC4">
        <w:rPr>
          <w:lang w:val="en-GB"/>
        </w:rPr>
        <w:t>Acquisition of the fundamental notions of the telematic administrative process will be verified during lectures, through the active participation of students. To earn the ECTS, students must have regularly attended the seminar. Students will be assessed by way of a suitability judgment which will be expressed as a "pass" or "fail".</w:t>
      </w:r>
    </w:p>
    <w:p w14:paraId="43D01E18" w14:textId="77777777" w:rsidR="001E4A31" w:rsidRPr="009D2EC4" w:rsidRDefault="002B262F">
      <w:pPr>
        <w:pStyle w:val="P68B1DB1-Normale1"/>
        <w:spacing w:before="240" w:after="120"/>
        <w:rPr>
          <w:lang w:val="en-GB"/>
        </w:rPr>
      </w:pPr>
      <w:r w:rsidRPr="009D2EC4">
        <w:rPr>
          <w:lang w:val="en-GB"/>
        </w:rPr>
        <w:t>NOTES AND PREREQUISITES</w:t>
      </w:r>
    </w:p>
    <w:p w14:paraId="4536CCC6" w14:textId="3DBF3C07" w:rsidR="001E4A31" w:rsidRPr="009D2EC4" w:rsidRDefault="002B262F">
      <w:pPr>
        <w:pStyle w:val="Testo2"/>
        <w:rPr>
          <w:lang w:val="en-GB"/>
        </w:rPr>
      </w:pPr>
      <w:r w:rsidRPr="009D2EC4">
        <w:rPr>
          <w:lang w:val="en-GB"/>
        </w:rPr>
        <w:lastRenderedPageBreak/>
        <w:t>Students are required to possess the basic knowledge of the main institutes of administrative procedural law (Administrative Law 2 course).</w:t>
      </w:r>
    </w:p>
    <w:p w14:paraId="4B642412" w14:textId="7F6797F0" w:rsidR="001E4A31" w:rsidRPr="009D2EC4" w:rsidRDefault="002B262F">
      <w:pPr>
        <w:pStyle w:val="Testo2"/>
        <w:rPr>
          <w:lang w:val="en-GB"/>
        </w:rPr>
      </w:pPr>
      <w:r w:rsidRPr="009D2EC4">
        <w:rPr>
          <w:lang w:val="en-GB"/>
        </w:rPr>
        <w:t>The seminar is open to a limited number: a maximum of 40 students taking the Master's Degree Course in Law may only be admitted.</w:t>
      </w:r>
    </w:p>
    <w:p w14:paraId="38181100" w14:textId="77777777" w:rsidR="00620442" w:rsidRPr="006A475A" w:rsidRDefault="00620442" w:rsidP="00620442">
      <w:pPr>
        <w:pStyle w:val="Testo2"/>
        <w:spacing w:before="120"/>
        <w:rPr>
          <w:lang w:val="en-GB"/>
        </w:rPr>
      </w:pPr>
      <w:r w:rsidRPr="006A475A">
        <w:rPr>
          <w:lang w:val="en-GB"/>
        </w:rPr>
        <w:t>Further information can be found on the lecturer's webpage at http://docenti.unicatt.it/web/searchByName.do?language=Eng or on the Faculty notice board.</w:t>
      </w:r>
    </w:p>
    <w:p w14:paraId="3DF675CB" w14:textId="3A99C49A" w:rsidR="001E4A31" w:rsidRPr="009D2EC4" w:rsidRDefault="001E4A31" w:rsidP="00620442">
      <w:pPr>
        <w:pStyle w:val="P68B1DB1-Testo22"/>
        <w:spacing w:before="120"/>
        <w:rPr>
          <w:lang w:val="en-GB"/>
        </w:rPr>
      </w:pPr>
    </w:p>
    <w:sectPr w:rsidR="001E4A31" w:rsidRPr="009D2EC4">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BEE3" w14:textId="77777777" w:rsidR="00DA3867" w:rsidRDefault="00DA3867">
      <w:pPr>
        <w:spacing w:line="240" w:lineRule="auto"/>
      </w:pPr>
      <w:r>
        <w:separator/>
      </w:r>
    </w:p>
  </w:endnote>
  <w:endnote w:type="continuationSeparator" w:id="0">
    <w:p w14:paraId="48A9D36C" w14:textId="77777777" w:rsidR="00DA3867" w:rsidRDefault="00DA3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79E2" w14:textId="77777777" w:rsidR="00DA3867" w:rsidRDefault="00DA3867">
      <w:pPr>
        <w:spacing w:line="240" w:lineRule="auto"/>
      </w:pPr>
      <w:r>
        <w:separator/>
      </w:r>
    </w:p>
  </w:footnote>
  <w:footnote w:type="continuationSeparator" w:id="0">
    <w:p w14:paraId="05750053" w14:textId="77777777" w:rsidR="00DA3867" w:rsidRDefault="00DA38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B6"/>
    <w:rsid w:val="00010EB6"/>
    <w:rsid w:val="000758DD"/>
    <w:rsid w:val="00076836"/>
    <w:rsid w:val="000839B4"/>
    <w:rsid w:val="000B53C4"/>
    <w:rsid w:val="000E1464"/>
    <w:rsid w:val="000E4668"/>
    <w:rsid w:val="0012231A"/>
    <w:rsid w:val="00161450"/>
    <w:rsid w:val="00170529"/>
    <w:rsid w:val="00187B99"/>
    <w:rsid w:val="00187FD9"/>
    <w:rsid w:val="0019028F"/>
    <w:rsid w:val="00194E22"/>
    <w:rsid w:val="001C163F"/>
    <w:rsid w:val="001E4A31"/>
    <w:rsid w:val="001F595C"/>
    <w:rsid w:val="002014DD"/>
    <w:rsid w:val="00250060"/>
    <w:rsid w:val="00252C1B"/>
    <w:rsid w:val="00270DCE"/>
    <w:rsid w:val="00270E58"/>
    <w:rsid w:val="00296E26"/>
    <w:rsid w:val="002973E1"/>
    <w:rsid w:val="002A0491"/>
    <w:rsid w:val="002B262F"/>
    <w:rsid w:val="002D5E17"/>
    <w:rsid w:val="00351CBB"/>
    <w:rsid w:val="0039454D"/>
    <w:rsid w:val="003A6B82"/>
    <w:rsid w:val="003D0A6F"/>
    <w:rsid w:val="003D7AD0"/>
    <w:rsid w:val="003F3C0F"/>
    <w:rsid w:val="00422C56"/>
    <w:rsid w:val="004242B8"/>
    <w:rsid w:val="00436B9F"/>
    <w:rsid w:val="004803C5"/>
    <w:rsid w:val="004D1217"/>
    <w:rsid w:val="004D202B"/>
    <w:rsid w:val="004D6008"/>
    <w:rsid w:val="00524A6F"/>
    <w:rsid w:val="005511BA"/>
    <w:rsid w:val="00577C63"/>
    <w:rsid w:val="00577FE2"/>
    <w:rsid w:val="005A4292"/>
    <w:rsid w:val="005A723D"/>
    <w:rsid w:val="005F3AD8"/>
    <w:rsid w:val="00610B70"/>
    <w:rsid w:val="006128E7"/>
    <w:rsid w:val="00620442"/>
    <w:rsid w:val="00620ACB"/>
    <w:rsid w:val="00623B70"/>
    <w:rsid w:val="00640794"/>
    <w:rsid w:val="006519F0"/>
    <w:rsid w:val="006819E3"/>
    <w:rsid w:val="006820A9"/>
    <w:rsid w:val="006E17B5"/>
    <w:rsid w:val="006F1772"/>
    <w:rsid w:val="007108B1"/>
    <w:rsid w:val="007202F4"/>
    <w:rsid w:val="00721096"/>
    <w:rsid w:val="00745DD4"/>
    <w:rsid w:val="00785873"/>
    <w:rsid w:val="007B53BC"/>
    <w:rsid w:val="007F535C"/>
    <w:rsid w:val="007F687F"/>
    <w:rsid w:val="008942E7"/>
    <w:rsid w:val="008A1204"/>
    <w:rsid w:val="008A3113"/>
    <w:rsid w:val="008C56D2"/>
    <w:rsid w:val="008F57A5"/>
    <w:rsid w:val="00900CCA"/>
    <w:rsid w:val="00904949"/>
    <w:rsid w:val="0091458A"/>
    <w:rsid w:val="00920210"/>
    <w:rsid w:val="00924B77"/>
    <w:rsid w:val="00937C34"/>
    <w:rsid w:val="00940DA2"/>
    <w:rsid w:val="0095586B"/>
    <w:rsid w:val="0096005D"/>
    <w:rsid w:val="00960D92"/>
    <w:rsid w:val="0097754E"/>
    <w:rsid w:val="009C45AB"/>
    <w:rsid w:val="009D2EC4"/>
    <w:rsid w:val="009E055C"/>
    <w:rsid w:val="009F0EDF"/>
    <w:rsid w:val="00A029F4"/>
    <w:rsid w:val="00A23426"/>
    <w:rsid w:val="00A51FA5"/>
    <w:rsid w:val="00A74F6F"/>
    <w:rsid w:val="00A76CB2"/>
    <w:rsid w:val="00AD7557"/>
    <w:rsid w:val="00B50C5D"/>
    <w:rsid w:val="00B50EFF"/>
    <w:rsid w:val="00B51253"/>
    <w:rsid w:val="00B525CC"/>
    <w:rsid w:val="00B64ABD"/>
    <w:rsid w:val="00BA4CE2"/>
    <w:rsid w:val="00BC7EC4"/>
    <w:rsid w:val="00BD61C4"/>
    <w:rsid w:val="00C16C21"/>
    <w:rsid w:val="00C474C9"/>
    <w:rsid w:val="00C54692"/>
    <w:rsid w:val="00C73117"/>
    <w:rsid w:val="00C73232"/>
    <w:rsid w:val="00C845F4"/>
    <w:rsid w:val="00C90104"/>
    <w:rsid w:val="00C933CA"/>
    <w:rsid w:val="00C97903"/>
    <w:rsid w:val="00CE3C3E"/>
    <w:rsid w:val="00CF2E03"/>
    <w:rsid w:val="00D0425C"/>
    <w:rsid w:val="00D210EB"/>
    <w:rsid w:val="00D369C5"/>
    <w:rsid w:val="00D404F2"/>
    <w:rsid w:val="00D606C1"/>
    <w:rsid w:val="00D93033"/>
    <w:rsid w:val="00D95B5D"/>
    <w:rsid w:val="00DA3867"/>
    <w:rsid w:val="00DB31B9"/>
    <w:rsid w:val="00DC4418"/>
    <w:rsid w:val="00DD320C"/>
    <w:rsid w:val="00E14CF0"/>
    <w:rsid w:val="00E2796A"/>
    <w:rsid w:val="00E35CA6"/>
    <w:rsid w:val="00E607E6"/>
    <w:rsid w:val="00EA1E6E"/>
    <w:rsid w:val="00EB6651"/>
    <w:rsid w:val="00EE4874"/>
    <w:rsid w:val="00EF2305"/>
    <w:rsid w:val="00EF5E24"/>
    <w:rsid w:val="00F26F53"/>
    <w:rsid w:val="00F55A4A"/>
    <w:rsid w:val="00F825BE"/>
    <w:rsid w:val="00F82AA1"/>
    <w:rsid w:val="00FA70BB"/>
    <w:rsid w:val="00FA7152"/>
    <w:rsid w:val="00FD0DDC"/>
    <w:rsid w:val="00FE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4774C"/>
  <w15:docId w15:val="{87ACF00A-263D-4D63-834B-B91E436F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D61C4"/>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uiPriority w:val="99"/>
    <w:unhideWhenUsed/>
    <w:rsid w:val="000839B4"/>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D93033"/>
    <w:pPr>
      <w:spacing w:line="240" w:lineRule="auto"/>
    </w:pPr>
  </w:style>
  <w:style w:type="character" w:customStyle="1" w:styleId="TestonotaapidipaginaCarattere">
    <w:name w:val="Testo nota a piè di pagina Carattere"/>
    <w:basedOn w:val="Carpredefinitoparagrafo"/>
    <w:link w:val="Testonotaapidipagina"/>
    <w:rsid w:val="00D93033"/>
  </w:style>
  <w:style w:type="character" w:styleId="Rimandonotaapidipagina">
    <w:name w:val="footnote reference"/>
    <w:basedOn w:val="Carpredefinitoparagrafo"/>
    <w:rsid w:val="00D93033"/>
    <w:rPr>
      <w:vertAlign w:val="superscript"/>
    </w:rPr>
  </w:style>
  <w:style w:type="paragraph" w:customStyle="1" w:styleId="P68B1DB1-Normale1">
    <w:name w:val="P68B1DB1-Normale1"/>
    <w:basedOn w:val="Normale"/>
    <w:rPr>
      <w:b/>
      <w:i/>
      <w:sz w:val="18"/>
    </w:rPr>
  </w:style>
  <w:style w:type="paragraph" w:customStyle="1" w:styleId="P68B1DB1-Testo22">
    <w:name w:val="P68B1DB1-Testo22"/>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30933-63ED-4214-9D36-878D636C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347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6</cp:revision>
  <cp:lastPrinted>2003-03-27T10:42:00Z</cp:lastPrinted>
  <dcterms:created xsi:type="dcterms:W3CDTF">2023-08-03T08:15:00Z</dcterms:created>
  <dcterms:modified xsi:type="dcterms:W3CDTF">2024-01-09T15:13:00Z</dcterms:modified>
</cp:coreProperties>
</file>