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45DA" w14:textId="77777777" w:rsidR="00614CB7" w:rsidRPr="00C125FA" w:rsidRDefault="00614CB7" w:rsidP="00614CB7">
      <w:pPr>
        <w:jc w:val="left"/>
        <w:rPr>
          <w:b/>
          <w:shd w:val="clear" w:color="auto" w:fill="FFFFFF"/>
          <w:lang w:val="en-US"/>
        </w:rPr>
      </w:pPr>
      <w:r w:rsidRPr="00C125FA">
        <w:rPr>
          <w:b/>
          <w:shd w:val="clear" w:color="auto" w:fill="FFFFFF"/>
          <w:lang w:val="en-US"/>
        </w:rPr>
        <w:t>Monetary Economics</w:t>
      </w:r>
    </w:p>
    <w:p w14:paraId="62B99AD4" w14:textId="77777777" w:rsidR="00033EFE" w:rsidRPr="00C125FA" w:rsidRDefault="003D3152" w:rsidP="007C2303">
      <w:pPr>
        <w:pStyle w:val="Titolo2"/>
        <w:rPr>
          <w:rFonts w:ascii="Times New Roman" w:hAnsi="Times New Roman"/>
          <w:szCs w:val="18"/>
          <w:lang w:val="en-US"/>
        </w:rPr>
      </w:pPr>
      <w:r w:rsidRPr="00C125FA">
        <w:rPr>
          <w:rFonts w:ascii="Times New Roman" w:hAnsi="Times New Roman"/>
          <w:szCs w:val="18"/>
          <w:lang w:val="en-US"/>
        </w:rPr>
        <w:t>Prof. Andrea Terzi</w:t>
      </w:r>
    </w:p>
    <w:p w14:paraId="0575A0AB" w14:textId="17770296" w:rsidR="00033EFE" w:rsidRPr="00C125FA" w:rsidRDefault="00033EFE" w:rsidP="007C2303">
      <w:pPr>
        <w:pStyle w:val="NormaleWeb"/>
        <w:spacing w:before="240" w:beforeAutospacing="0" w:after="120" w:afterAutospacing="0"/>
        <w:jc w:val="both"/>
        <w:rPr>
          <w:b/>
          <w:i/>
          <w:sz w:val="18"/>
          <w:lang w:val="en-GB"/>
        </w:rPr>
      </w:pPr>
      <w:r w:rsidRPr="00C125FA">
        <w:rPr>
          <w:b/>
          <w:i/>
          <w:sz w:val="18"/>
          <w:lang w:val="en-GB"/>
        </w:rPr>
        <w:t>COURSE AIMS AND INTENDED LEARNING OUTCOMES</w:t>
      </w:r>
    </w:p>
    <w:p w14:paraId="0CA177F2" w14:textId="77777777" w:rsidR="007C2303" w:rsidRPr="00C125FA" w:rsidRDefault="00C53DA3" w:rsidP="007C2303">
      <w:pPr>
        <w:spacing w:line="240" w:lineRule="exact"/>
        <w:rPr>
          <w:lang w:val="en-GB"/>
        </w:rPr>
      </w:pPr>
      <w:r w:rsidRPr="00C125FA">
        <w:rPr>
          <w:lang w:val="en-GB"/>
        </w:rPr>
        <w:t>The course aims to provide students with the basic tools for understanding the meaning and consequences of monetary flows and financial stocks, introducing them to the theoretical debate and the practice of monetary policy and its effects on financial markets and macroeconomic variables. The course</w:t>
      </w:r>
      <w:r w:rsidR="003E11DC" w:rsidRPr="00C125FA">
        <w:rPr>
          <w:lang w:val="en-GB"/>
        </w:rPr>
        <w:t xml:space="preserve"> </w:t>
      </w:r>
      <w:r w:rsidRPr="00C125FA">
        <w:rPr>
          <w:lang w:val="en-GB"/>
        </w:rPr>
        <w:t>is</w:t>
      </w:r>
      <w:r w:rsidR="003E11DC" w:rsidRPr="00C125FA">
        <w:rPr>
          <w:lang w:val="en-GB"/>
        </w:rPr>
        <w:t xml:space="preserve"> </w:t>
      </w:r>
      <w:r w:rsidRPr="00C125FA">
        <w:rPr>
          <w:lang w:val="en-GB"/>
        </w:rPr>
        <w:t>divided</w:t>
      </w:r>
      <w:r w:rsidR="003E11DC" w:rsidRPr="00C125FA">
        <w:rPr>
          <w:lang w:val="en-GB"/>
        </w:rPr>
        <w:t xml:space="preserve"> </w:t>
      </w:r>
      <w:r w:rsidRPr="00C125FA">
        <w:rPr>
          <w:lang w:val="en-GB"/>
        </w:rPr>
        <w:t>into</w:t>
      </w:r>
      <w:r w:rsidR="003E11DC" w:rsidRPr="00C125FA">
        <w:rPr>
          <w:lang w:val="en-GB"/>
        </w:rPr>
        <w:t xml:space="preserve"> </w:t>
      </w:r>
      <w:r w:rsidRPr="00C125FA">
        <w:rPr>
          <w:lang w:val="en-GB"/>
        </w:rPr>
        <w:t>four</w:t>
      </w:r>
      <w:r w:rsidR="003E11DC" w:rsidRPr="00C125FA">
        <w:rPr>
          <w:lang w:val="en-GB"/>
        </w:rPr>
        <w:t xml:space="preserve"> </w:t>
      </w:r>
      <w:r w:rsidRPr="00C125FA">
        <w:rPr>
          <w:lang w:val="en-GB"/>
        </w:rPr>
        <w:t xml:space="preserve">parts: </w:t>
      </w:r>
      <w:r w:rsidR="003E11DC" w:rsidRPr="00C125FA">
        <w:rPr>
          <w:lang w:val="en-GB"/>
        </w:rPr>
        <w:t>A) The monetary scope of the economy</w:t>
      </w:r>
      <w:r w:rsidR="007C2303" w:rsidRPr="00C125FA">
        <w:rPr>
          <w:lang w:val="en-GB"/>
        </w:rPr>
        <w:t xml:space="preserve">; B) </w:t>
      </w:r>
      <w:r w:rsidR="00DF1772" w:rsidRPr="00C125FA">
        <w:rPr>
          <w:szCs w:val="20"/>
          <w:lang w:val="en-GB"/>
        </w:rPr>
        <w:t>The operational frameworks</w:t>
      </w:r>
      <w:r w:rsidR="003E11DC" w:rsidRPr="00C125FA">
        <w:rPr>
          <w:szCs w:val="20"/>
          <w:lang w:val="en-GB"/>
        </w:rPr>
        <w:t xml:space="preserve"> of monetary policy</w:t>
      </w:r>
      <w:r w:rsidR="007C2303" w:rsidRPr="00C125FA">
        <w:rPr>
          <w:lang w:val="en-GB"/>
        </w:rPr>
        <w:t xml:space="preserve">; C) </w:t>
      </w:r>
      <w:r w:rsidR="00DF1772" w:rsidRPr="00C125FA">
        <w:rPr>
          <w:szCs w:val="20"/>
          <w:lang w:val="en-GB"/>
        </w:rPr>
        <w:t>Monetary policy and real economy</w:t>
      </w:r>
      <w:r w:rsidR="007C2303" w:rsidRPr="00C125FA">
        <w:rPr>
          <w:lang w:val="en-GB"/>
        </w:rPr>
        <w:t xml:space="preserve">; D) </w:t>
      </w:r>
      <w:r w:rsidR="003E11DC" w:rsidRPr="00C125FA">
        <w:rPr>
          <w:szCs w:val="20"/>
          <w:lang w:val="en-GB"/>
        </w:rPr>
        <w:t xml:space="preserve">The monetary </w:t>
      </w:r>
      <w:r w:rsidR="00DF1772" w:rsidRPr="00C125FA">
        <w:rPr>
          <w:szCs w:val="20"/>
          <w:lang w:val="en-GB"/>
        </w:rPr>
        <w:t xml:space="preserve">policy of the </w:t>
      </w:r>
      <w:r w:rsidR="003E11DC" w:rsidRPr="00C125FA">
        <w:rPr>
          <w:szCs w:val="20"/>
          <w:lang w:val="en-GB"/>
        </w:rPr>
        <w:t xml:space="preserve">European </w:t>
      </w:r>
      <w:r w:rsidR="00DF1772" w:rsidRPr="00C125FA">
        <w:rPr>
          <w:szCs w:val="20"/>
          <w:lang w:val="en-GB"/>
        </w:rPr>
        <w:t xml:space="preserve">Central </w:t>
      </w:r>
      <w:r w:rsidR="003E11DC" w:rsidRPr="00C125FA">
        <w:rPr>
          <w:szCs w:val="20"/>
          <w:lang w:val="en-GB"/>
        </w:rPr>
        <w:t>Bank</w:t>
      </w:r>
      <w:r w:rsidR="007C2303" w:rsidRPr="00C125FA">
        <w:rPr>
          <w:lang w:val="en-GB"/>
        </w:rPr>
        <w:t>.</w:t>
      </w:r>
    </w:p>
    <w:p w14:paraId="29833EC1" w14:textId="77777777" w:rsidR="003D3152" w:rsidRPr="00C125FA" w:rsidRDefault="00AA30B0" w:rsidP="007C2303">
      <w:pPr>
        <w:spacing w:before="120"/>
        <w:rPr>
          <w:lang w:val="en-GB"/>
        </w:rPr>
      </w:pPr>
      <w:r w:rsidRPr="00C125FA">
        <w:rPr>
          <w:lang w:val="en-GB"/>
        </w:rPr>
        <w:t>At the end of the course, students will be able to describe the fundamental mechanics of the payment system, illustrate the main techniques of conventional monetary policy</w:t>
      </w:r>
      <w:r w:rsidR="00F2382C" w:rsidRPr="00C125FA">
        <w:rPr>
          <w:lang w:val="en-GB"/>
        </w:rPr>
        <w:t>,</w:t>
      </w:r>
      <w:r w:rsidR="00F2382C" w:rsidRPr="00C125FA">
        <w:rPr>
          <w:lang w:val="en-US"/>
        </w:rPr>
        <w:t xml:space="preserve"> </w:t>
      </w:r>
      <w:r w:rsidR="006E2FFE" w:rsidRPr="00C125FA">
        <w:rPr>
          <w:lang w:val="en-GB"/>
        </w:rPr>
        <w:t>outline the operational set-up of the</w:t>
      </w:r>
      <w:r w:rsidR="00F2382C" w:rsidRPr="00C125FA">
        <w:rPr>
          <w:lang w:val="en-GB"/>
        </w:rPr>
        <w:t xml:space="preserve"> </w:t>
      </w:r>
      <w:proofErr w:type="spellStart"/>
      <w:r w:rsidR="006E2FFE" w:rsidRPr="00C125FA">
        <w:rPr>
          <w:lang w:val="en-GB"/>
        </w:rPr>
        <w:t>Eurosystem</w:t>
      </w:r>
      <w:proofErr w:type="spellEnd"/>
      <w:r w:rsidR="00F2382C" w:rsidRPr="00C125FA">
        <w:rPr>
          <w:lang w:val="en-GB"/>
        </w:rPr>
        <w:t>,</w:t>
      </w:r>
      <w:r w:rsidRPr="00C125FA">
        <w:rPr>
          <w:lang w:val="en-GB"/>
        </w:rPr>
        <w:t xml:space="preserve"> identify the variables that explain the structure of interest rates, compare different hypotheses on the role of monetary aggregates</w:t>
      </w:r>
      <w:r w:rsidR="00F2382C" w:rsidRPr="00C125FA">
        <w:rPr>
          <w:lang w:val="en-GB"/>
        </w:rPr>
        <w:t xml:space="preserve"> </w:t>
      </w:r>
      <w:r w:rsidR="006E2FFE" w:rsidRPr="00C125FA">
        <w:rPr>
          <w:lang w:val="en-GB"/>
        </w:rPr>
        <w:t xml:space="preserve">and if interest rates </w:t>
      </w:r>
      <w:r w:rsidRPr="00C125FA">
        <w:rPr>
          <w:lang w:val="en-GB"/>
        </w:rPr>
        <w:t>in alternative macroeconomic models, outline the characteristics of unconventional policies and express an evaluation on the effectiveness of the monetary policy transmission channels.</w:t>
      </w:r>
    </w:p>
    <w:p w14:paraId="2B0B42AA" w14:textId="77777777" w:rsidR="003D3152" w:rsidRPr="00C125FA" w:rsidRDefault="00F048DB" w:rsidP="003D3152">
      <w:pPr>
        <w:spacing w:before="240" w:after="120" w:line="240" w:lineRule="exact"/>
        <w:rPr>
          <w:b/>
          <w:sz w:val="18"/>
          <w:lang w:val="en-GB"/>
        </w:rPr>
      </w:pPr>
      <w:r w:rsidRPr="00C125FA">
        <w:rPr>
          <w:b/>
          <w:i/>
          <w:sz w:val="18"/>
          <w:lang w:val="en-GB"/>
        </w:rPr>
        <w:t>COURSE CONTENT</w:t>
      </w:r>
    </w:p>
    <w:p w14:paraId="6A093159" w14:textId="2D2A6E6E" w:rsidR="006A196B" w:rsidRPr="00C125FA" w:rsidRDefault="00200D94" w:rsidP="006A196B">
      <w:pPr>
        <w:widowControl w:val="0"/>
        <w:tabs>
          <w:tab w:val="clear" w:pos="284"/>
          <w:tab w:val="left" w:pos="567"/>
          <w:tab w:val="right" w:pos="6350"/>
        </w:tabs>
        <w:spacing w:line="242" w:lineRule="exact"/>
        <w:ind w:left="567" w:right="851" w:hanging="567"/>
        <w:rPr>
          <w:rFonts w:eastAsiaTheme="minorHAnsi"/>
          <w:b/>
          <w:szCs w:val="20"/>
          <w:lang w:val="en-GB" w:eastAsia="en-US"/>
        </w:rPr>
      </w:pPr>
      <w:r w:rsidRPr="00C125FA">
        <w:rPr>
          <w:rFonts w:eastAsiaTheme="minorHAnsi"/>
          <w:b/>
          <w:szCs w:val="20"/>
          <w:lang w:val="en-GB" w:eastAsia="en-US"/>
        </w:rPr>
        <w:t xml:space="preserve">The monetary dimension of the economy </w:t>
      </w:r>
    </w:p>
    <w:p w14:paraId="7DB70902" w14:textId="4FDB4A27" w:rsidR="006A196B" w:rsidRPr="00C125FA" w:rsidRDefault="00200D94" w:rsidP="006A196B">
      <w:pPr>
        <w:widowControl w:val="0"/>
        <w:tabs>
          <w:tab w:val="clear" w:pos="284"/>
          <w:tab w:val="left" w:pos="567"/>
          <w:tab w:val="right" w:pos="6350"/>
        </w:tabs>
        <w:spacing w:line="242" w:lineRule="exact"/>
        <w:ind w:left="567" w:right="851" w:hanging="567"/>
        <w:rPr>
          <w:rFonts w:eastAsiaTheme="minorHAnsi"/>
          <w:szCs w:val="20"/>
          <w:lang w:val="en-GB" w:eastAsia="en-US"/>
        </w:rPr>
      </w:pPr>
      <w:r w:rsidRPr="00C125FA">
        <w:rPr>
          <w:rFonts w:eastAsiaTheme="minorHAnsi"/>
          <w:szCs w:val="20"/>
          <w:lang w:val="en-GB" w:eastAsia="en-US"/>
        </w:rPr>
        <w:t xml:space="preserve">Economic and financial transactions </w:t>
      </w:r>
    </w:p>
    <w:p w14:paraId="71E17E38" w14:textId="3097EDD9" w:rsidR="006A196B" w:rsidRPr="00C125FA" w:rsidRDefault="0033751E" w:rsidP="006A196B">
      <w:pPr>
        <w:widowControl w:val="0"/>
        <w:tabs>
          <w:tab w:val="clear" w:pos="284"/>
          <w:tab w:val="left" w:pos="567"/>
          <w:tab w:val="right" w:pos="6350"/>
        </w:tabs>
        <w:spacing w:line="242" w:lineRule="exact"/>
        <w:ind w:left="567" w:right="851" w:hanging="567"/>
        <w:rPr>
          <w:rFonts w:eastAsiaTheme="minorHAnsi"/>
          <w:szCs w:val="20"/>
          <w:lang w:val="en-GB" w:eastAsia="en-US"/>
        </w:rPr>
      </w:pPr>
      <w:r w:rsidRPr="00C125FA">
        <w:rPr>
          <w:rFonts w:eastAsiaTheme="minorHAnsi"/>
          <w:szCs w:val="20"/>
          <w:lang w:val="en-GB" w:eastAsia="en-US"/>
        </w:rPr>
        <w:t>Settlement</w:t>
      </w:r>
      <w:r w:rsidR="00200D94" w:rsidRPr="00C125FA">
        <w:rPr>
          <w:rFonts w:eastAsiaTheme="minorHAnsi"/>
          <w:szCs w:val="20"/>
          <w:lang w:val="en-GB" w:eastAsia="en-US"/>
        </w:rPr>
        <w:t xml:space="preserve"> activities </w:t>
      </w:r>
    </w:p>
    <w:p w14:paraId="72B42B25" w14:textId="50DC5376" w:rsidR="006A196B" w:rsidRPr="00C125FA" w:rsidRDefault="00200D94" w:rsidP="006A196B">
      <w:pPr>
        <w:widowControl w:val="0"/>
        <w:tabs>
          <w:tab w:val="clear" w:pos="284"/>
          <w:tab w:val="left" w:pos="567"/>
          <w:tab w:val="right" w:pos="6350"/>
        </w:tabs>
        <w:spacing w:line="242" w:lineRule="exact"/>
        <w:ind w:left="567" w:right="851" w:hanging="567"/>
        <w:rPr>
          <w:rFonts w:eastAsiaTheme="minorHAnsi"/>
          <w:szCs w:val="20"/>
          <w:lang w:val="en-GB" w:eastAsia="en-US"/>
        </w:rPr>
      </w:pPr>
      <w:r w:rsidRPr="00C125FA">
        <w:rPr>
          <w:rFonts w:eastAsiaTheme="minorHAnsi"/>
          <w:szCs w:val="20"/>
          <w:lang w:val="en-GB" w:eastAsia="en-US"/>
        </w:rPr>
        <w:t>Economic and financial accounting</w:t>
      </w:r>
    </w:p>
    <w:p w14:paraId="04E80D93" w14:textId="2F7AC7D6" w:rsidR="006A196B" w:rsidRPr="00C125FA" w:rsidRDefault="00200D94" w:rsidP="006A196B">
      <w:pPr>
        <w:spacing w:before="120"/>
        <w:rPr>
          <w:b/>
          <w:szCs w:val="20"/>
          <w:lang w:val="en-GB"/>
        </w:rPr>
      </w:pPr>
      <w:r w:rsidRPr="00C125FA">
        <w:rPr>
          <w:b/>
          <w:szCs w:val="20"/>
          <w:lang w:val="en-GB"/>
        </w:rPr>
        <w:t xml:space="preserve">Payment settlement </w:t>
      </w:r>
    </w:p>
    <w:p w14:paraId="364F2C05" w14:textId="77777777" w:rsidR="00200D94" w:rsidRPr="00C125FA" w:rsidRDefault="00200D94" w:rsidP="00200D94">
      <w:pPr>
        <w:rPr>
          <w:lang w:val="en-GB"/>
        </w:rPr>
      </w:pPr>
      <w:r w:rsidRPr="00C125FA">
        <w:rPr>
          <w:lang w:val="en-GB"/>
        </w:rPr>
        <w:t xml:space="preserve">Central bank currency and bank currency </w:t>
      </w:r>
    </w:p>
    <w:p w14:paraId="7EFF3BB7" w14:textId="067D53C9" w:rsidR="006A196B" w:rsidRPr="00C125FA" w:rsidRDefault="00200D94" w:rsidP="006A196B">
      <w:pPr>
        <w:widowControl w:val="0"/>
        <w:tabs>
          <w:tab w:val="clear" w:pos="284"/>
          <w:tab w:val="left" w:pos="567"/>
          <w:tab w:val="right" w:pos="6350"/>
        </w:tabs>
        <w:spacing w:line="242" w:lineRule="exact"/>
        <w:ind w:left="567" w:right="851" w:hanging="567"/>
        <w:rPr>
          <w:rFonts w:eastAsiaTheme="minorHAnsi"/>
          <w:szCs w:val="20"/>
          <w:lang w:val="en-GB" w:eastAsia="en-US"/>
        </w:rPr>
      </w:pPr>
      <w:r w:rsidRPr="00C125FA">
        <w:rPr>
          <w:rFonts w:eastAsiaTheme="minorHAnsi"/>
          <w:szCs w:val="20"/>
          <w:lang w:val="en-GB" w:eastAsia="en-US"/>
        </w:rPr>
        <w:t>The inter</w:t>
      </w:r>
      <w:r w:rsidR="0033751E" w:rsidRPr="00C125FA">
        <w:rPr>
          <w:rFonts w:eastAsiaTheme="minorHAnsi"/>
          <w:szCs w:val="20"/>
          <w:lang w:val="en-GB" w:eastAsia="en-US"/>
        </w:rPr>
        <w:t>b</w:t>
      </w:r>
      <w:r w:rsidRPr="00C125FA">
        <w:rPr>
          <w:rFonts w:eastAsiaTheme="minorHAnsi"/>
          <w:szCs w:val="20"/>
          <w:lang w:val="en-GB" w:eastAsia="en-US"/>
        </w:rPr>
        <w:t xml:space="preserve">ank settlement </w:t>
      </w:r>
    </w:p>
    <w:p w14:paraId="20A2D40B" w14:textId="2BF193B8" w:rsidR="006A196B" w:rsidRPr="00C125FA" w:rsidRDefault="00200D94" w:rsidP="006A196B">
      <w:pPr>
        <w:widowControl w:val="0"/>
        <w:tabs>
          <w:tab w:val="clear" w:pos="284"/>
          <w:tab w:val="left" w:pos="567"/>
          <w:tab w:val="right" w:pos="6350"/>
        </w:tabs>
        <w:spacing w:line="242" w:lineRule="exact"/>
        <w:ind w:left="567" w:right="851" w:hanging="567"/>
        <w:rPr>
          <w:rFonts w:eastAsiaTheme="minorHAnsi"/>
          <w:szCs w:val="20"/>
          <w:lang w:val="en-GB" w:eastAsia="en-US"/>
        </w:rPr>
      </w:pPr>
      <w:r w:rsidRPr="00C125FA">
        <w:rPr>
          <w:rFonts w:eastAsiaTheme="minorHAnsi"/>
          <w:szCs w:val="20"/>
          <w:lang w:val="en-GB" w:eastAsia="en-US"/>
        </w:rPr>
        <w:t>International payments</w:t>
      </w:r>
    </w:p>
    <w:p w14:paraId="21AD6784" w14:textId="1103F36E" w:rsidR="006A196B" w:rsidRPr="00C125FA" w:rsidRDefault="005C7BB7" w:rsidP="006A196B">
      <w:pPr>
        <w:spacing w:before="120"/>
        <w:rPr>
          <w:b/>
          <w:szCs w:val="20"/>
          <w:lang w:val="en-GB"/>
        </w:rPr>
      </w:pPr>
      <w:r w:rsidRPr="00C125FA">
        <w:rPr>
          <w:b/>
          <w:szCs w:val="20"/>
          <w:lang w:val="en-GB"/>
        </w:rPr>
        <w:t xml:space="preserve">Monetary and financial aggregates </w:t>
      </w:r>
    </w:p>
    <w:p w14:paraId="1468EB4D" w14:textId="743A0827" w:rsidR="006A196B" w:rsidRPr="00C125FA" w:rsidRDefault="005C7BB7" w:rsidP="006A196B">
      <w:pPr>
        <w:widowControl w:val="0"/>
        <w:tabs>
          <w:tab w:val="clear" w:pos="284"/>
          <w:tab w:val="left" w:pos="567"/>
          <w:tab w:val="right" w:pos="6350"/>
        </w:tabs>
        <w:spacing w:line="242" w:lineRule="exact"/>
        <w:ind w:left="567" w:right="851" w:hanging="567"/>
        <w:rPr>
          <w:rFonts w:eastAsiaTheme="minorHAnsi"/>
          <w:szCs w:val="20"/>
          <w:lang w:val="en-GB" w:eastAsia="en-US"/>
        </w:rPr>
      </w:pPr>
      <w:r w:rsidRPr="00C125FA">
        <w:rPr>
          <w:rFonts w:eastAsiaTheme="minorHAnsi"/>
          <w:szCs w:val="20"/>
          <w:lang w:val="en-GB" w:eastAsia="en-US"/>
        </w:rPr>
        <w:t xml:space="preserve">Private liabilities and monetary liabilities </w:t>
      </w:r>
    </w:p>
    <w:p w14:paraId="1817B33B" w14:textId="7157C922" w:rsidR="006A196B" w:rsidRPr="00C125FA" w:rsidRDefault="005C7BB7" w:rsidP="006A196B">
      <w:pPr>
        <w:widowControl w:val="0"/>
        <w:tabs>
          <w:tab w:val="clear" w:pos="284"/>
          <w:tab w:val="left" w:pos="567"/>
          <w:tab w:val="right" w:pos="6350"/>
        </w:tabs>
        <w:spacing w:line="242" w:lineRule="exact"/>
        <w:ind w:left="567" w:right="851" w:hanging="567"/>
        <w:rPr>
          <w:rFonts w:eastAsiaTheme="minorHAnsi"/>
          <w:szCs w:val="20"/>
          <w:lang w:val="en-GB" w:eastAsia="en-US"/>
        </w:rPr>
      </w:pPr>
      <w:r w:rsidRPr="00C125FA">
        <w:rPr>
          <w:rFonts w:eastAsiaTheme="minorHAnsi"/>
          <w:szCs w:val="20"/>
          <w:lang w:val="en-GB" w:eastAsia="en-US"/>
        </w:rPr>
        <w:t xml:space="preserve">Bank credit and deposit </w:t>
      </w:r>
    </w:p>
    <w:p w14:paraId="60439222" w14:textId="64D01FBF" w:rsidR="006A196B" w:rsidRPr="00C125FA" w:rsidRDefault="005C7BB7" w:rsidP="006A196B">
      <w:pPr>
        <w:widowControl w:val="0"/>
        <w:tabs>
          <w:tab w:val="clear" w:pos="284"/>
          <w:tab w:val="left" w:pos="567"/>
          <w:tab w:val="right" w:pos="6350"/>
        </w:tabs>
        <w:spacing w:line="242" w:lineRule="exact"/>
        <w:ind w:left="567" w:right="851" w:hanging="567"/>
        <w:rPr>
          <w:rFonts w:eastAsiaTheme="minorHAnsi"/>
          <w:szCs w:val="20"/>
          <w:lang w:val="en-GB" w:eastAsia="en-US"/>
        </w:rPr>
      </w:pPr>
      <w:r w:rsidRPr="00C125FA">
        <w:rPr>
          <w:rFonts w:eastAsiaTheme="minorHAnsi"/>
          <w:szCs w:val="20"/>
          <w:lang w:val="en-GB" w:eastAsia="en-US"/>
        </w:rPr>
        <w:t xml:space="preserve">Central bank and system financing </w:t>
      </w:r>
    </w:p>
    <w:p w14:paraId="1B4A08EE" w14:textId="1F5EBD0D" w:rsidR="006A196B" w:rsidRPr="00C125FA" w:rsidRDefault="005C7BB7" w:rsidP="006A196B">
      <w:pPr>
        <w:spacing w:before="120"/>
        <w:rPr>
          <w:b/>
          <w:szCs w:val="20"/>
          <w:lang w:val="en-GB"/>
        </w:rPr>
      </w:pPr>
      <w:r w:rsidRPr="00C125FA">
        <w:rPr>
          <w:b/>
          <w:szCs w:val="20"/>
          <w:lang w:val="en-GB"/>
        </w:rPr>
        <w:t xml:space="preserve">Official system rates and market yields </w:t>
      </w:r>
    </w:p>
    <w:p w14:paraId="02455F7E" w14:textId="10876D53" w:rsidR="006A196B" w:rsidRPr="00C125FA" w:rsidRDefault="005C7BB7" w:rsidP="006A196B">
      <w:pPr>
        <w:widowControl w:val="0"/>
        <w:tabs>
          <w:tab w:val="clear" w:pos="284"/>
          <w:tab w:val="left" w:pos="567"/>
          <w:tab w:val="right" w:pos="6350"/>
        </w:tabs>
        <w:spacing w:line="242" w:lineRule="exact"/>
        <w:ind w:left="567" w:right="851" w:hanging="567"/>
        <w:rPr>
          <w:rFonts w:eastAsiaTheme="minorHAnsi"/>
          <w:szCs w:val="20"/>
          <w:lang w:val="en-US" w:eastAsia="en-US"/>
        </w:rPr>
      </w:pPr>
      <w:r w:rsidRPr="00C125FA">
        <w:rPr>
          <w:rFonts w:eastAsiaTheme="minorHAnsi"/>
          <w:szCs w:val="20"/>
          <w:lang w:val="en-US" w:eastAsia="en-US"/>
        </w:rPr>
        <w:t xml:space="preserve">The official system rates of the central bank </w:t>
      </w:r>
    </w:p>
    <w:p w14:paraId="3A6D0DC3" w14:textId="3679B536" w:rsidR="006A196B" w:rsidRPr="00C125FA" w:rsidRDefault="00FF2532" w:rsidP="006A196B">
      <w:pPr>
        <w:widowControl w:val="0"/>
        <w:tabs>
          <w:tab w:val="clear" w:pos="284"/>
          <w:tab w:val="left" w:pos="567"/>
          <w:tab w:val="right" w:pos="6350"/>
        </w:tabs>
        <w:spacing w:line="242" w:lineRule="exact"/>
        <w:ind w:left="567" w:right="851" w:hanging="567"/>
        <w:rPr>
          <w:rFonts w:eastAsiaTheme="minorHAnsi"/>
          <w:szCs w:val="20"/>
          <w:lang w:val="en-US" w:eastAsia="en-US"/>
        </w:rPr>
      </w:pPr>
      <w:r w:rsidRPr="00C125FA">
        <w:rPr>
          <w:rFonts w:eastAsiaTheme="minorHAnsi"/>
          <w:szCs w:val="20"/>
          <w:lang w:val="en-US" w:eastAsia="en-US"/>
        </w:rPr>
        <w:t xml:space="preserve">Operational framework of monetary policy </w:t>
      </w:r>
    </w:p>
    <w:p w14:paraId="04B5B309" w14:textId="7629AAF6" w:rsidR="006A196B" w:rsidRPr="00C125FA" w:rsidRDefault="00FF2532" w:rsidP="006A196B">
      <w:pPr>
        <w:widowControl w:val="0"/>
        <w:tabs>
          <w:tab w:val="clear" w:pos="284"/>
          <w:tab w:val="left" w:pos="567"/>
          <w:tab w:val="right" w:pos="6350"/>
        </w:tabs>
        <w:spacing w:line="242" w:lineRule="exact"/>
        <w:ind w:left="567" w:right="851" w:hanging="567"/>
        <w:rPr>
          <w:rFonts w:eastAsiaTheme="minorHAnsi"/>
          <w:szCs w:val="20"/>
          <w:lang w:val="en-US" w:eastAsia="en-US"/>
        </w:rPr>
      </w:pPr>
      <w:r w:rsidRPr="00C125FA">
        <w:rPr>
          <w:rFonts w:eastAsiaTheme="minorHAnsi"/>
          <w:szCs w:val="20"/>
          <w:lang w:val="en-US" w:eastAsia="en-US"/>
        </w:rPr>
        <w:t xml:space="preserve">Monetary policy and the term structure of yields </w:t>
      </w:r>
    </w:p>
    <w:p w14:paraId="49A2056F" w14:textId="401BAED2" w:rsidR="006A196B" w:rsidRPr="00C125FA" w:rsidRDefault="00FF2532" w:rsidP="006A196B">
      <w:pPr>
        <w:spacing w:before="120"/>
        <w:rPr>
          <w:b/>
          <w:szCs w:val="20"/>
          <w:lang w:val="en-US"/>
        </w:rPr>
      </w:pPr>
      <w:r w:rsidRPr="00C125FA">
        <w:rPr>
          <w:b/>
          <w:szCs w:val="20"/>
          <w:lang w:val="en-US"/>
        </w:rPr>
        <w:t>The monetary policy of the Eur</w:t>
      </w:r>
      <w:r w:rsidR="0033751E" w:rsidRPr="00C125FA">
        <w:rPr>
          <w:b/>
          <w:szCs w:val="20"/>
          <w:lang w:val="en-US"/>
        </w:rPr>
        <w:t>o</w:t>
      </w:r>
      <w:r w:rsidRPr="00C125FA">
        <w:rPr>
          <w:b/>
          <w:szCs w:val="20"/>
          <w:lang w:val="en-US"/>
        </w:rPr>
        <w:t xml:space="preserve">pean Central Bank </w:t>
      </w:r>
    </w:p>
    <w:p w14:paraId="67B750C2" w14:textId="010E8B5B" w:rsidR="006A196B" w:rsidRPr="00C125FA" w:rsidRDefault="00FF2532" w:rsidP="006A196B">
      <w:pPr>
        <w:widowControl w:val="0"/>
        <w:tabs>
          <w:tab w:val="clear" w:pos="284"/>
          <w:tab w:val="left" w:pos="567"/>
          <w:tab w:val="right" w:pos="6350"/>
        </w:tabs>
        <w:spacing w:line="242" w:lineRule="exact"/>
        <w:ind w:left="567" w:right="851" w:hanging="567"/>
        <w:rPr>
          <w:rFonts w:eastAsiaTheme="minorHAnsi"/>
          <w:szCs w:val="20"/>
          <w:lang w:val="en-GB" w:eastAsia="en-US"/>
        </w:rPr>
      </w:pPr>
      <w:r w:rsidRPr="00C125FA">
        <w:rPr>
          <w:rFonts w:eastAsiaTheme="minorHAnsi"/>
          <w:szCs w:val="20"/>
          <w:lang w:val="en-US" w:eastAsia="en-US"/>
        </w:rPr>
        <w:t>Pre</w:t>
      </w:r>
      <w:r w:rsidRPr="00C125FA">
        <w:rPr>
          <w:rFonts w:eastAsiaTheme="minorHAnsi"/>
          <w:szCs w:val="20"/>
          <w:lang w:val="en-GB" w:eastAsia="en-US"/>
        </w:rPr>
        <w:t>-crisis tools and operation</w:t>
      </w:r>
    </w:p>
    <w:p w14:paraId="7EA20FB8" w14:textId="2604C61A" w:rsidR="006A196B" w:rsidRPr="00C125FA" w:rsidRDefault="00FF2532" w:rsidP="006A196B">
      <w:pPr>
        <w:widowControl w:val="0"/>
        <w:tabs>
          <w:tab w:val="clear" w:pos="284"/>
          <w:tab w:val="left" w:pos="567"/>
          <w:tab w:val="right" w:pos="6350"/>
        </w:tabs>
        <w:spacing w:line="242" w:lineRule="exact"/>
        <w:ind w:left="567" w:right="851" w:hanging="567"/>
        <w:rPr>
          <w:rFonts w:eastAsiaTheme="minorHAnsi"/>
          <w:szCs w:val="20"/>
          <w:lang w:val="en-US" w:eastAsia="en-US"/>
        </w:rPr>
      </w:pPr>
      <w:r w:rsidRPr="00C125FA">
        <w:rPr>
          <w:rFonts w:eastAsiaTheme="minorHAnsi"/>
          <w:szCs w:val="20"/>
          <w:lang w:val="en-US" w:eastAsia="en-US"/>
        </w:rPr>
        <w:lastRenderedPageBreak/>
        <w:t>Passive and active balance heet policies</w:t>
      </w:r>
    </w:p>
    <w:p w14:paraId="2A41FF9B" w14:textId="20309516" w:rsidR="006A196B" w:rsidRPr="00C125FA" w:rsidRDefault="00FF2532" w:rsidP="006A196B">
      <w:pPr>
        <w:widowControl w:val="0"/>
        <w:tabs>
          <w:tab w:val="clear" w:pos="284"/>
          <w:tab w:val="left" w:pos="567"/>
          <w:tab w:val="right" w:pos="6350"/>
        </w:tabs>
        <w:spacing w:line="242" w:lineRule="exact"/>
        <w:ind w:left="567" w:right="851" w:hanging="567"/>
        <w:rPr>
          <w:rFonts w:eastAsiaTheme="minorHAnsi"/>
          <w:szCs w:val="20"/>
          <w:lang w:val="en-US" w:eastAsia="en-US"/>
        </w:rPr>
      </w:pPr>
      <w:r w:rsidRPr="00C125FA">
        <w:rPr>
          <w:rFonts w:eastAsiaTheme="minorHAnsi"/>
          <w:szCs w:val="20"/>
          <w:lang w:val="en-US" w:eastAsia="en-US"/>
        </w:rPr>
        <w:t xml:space="preserve">The monetary policy response </w:t>
      </w:r>
      <w:r w:rsidR="00D3115F" w:rsidRPr="00C125FA">
        <w:rPr>
          <w:rFonts w:eastAsiaTheme="minorHAnsi"/>
          <w:szCs w:val="20"/>
          <w:lang w:val="en-US" w:eastAsia="en-US"/>
        </w:rPr>
        <w:t xml:space="preserve">to the pandemic </w:t>
      </w:r>
    </w:p>
    <w:p w14:paraId="40F7973A" w14:textId="02D43078" w:rsidR="006A196B" w:rsidRPr="00C125FA" w:rsidRDefault="00D3115F" w:rsidP="006A196B">
      <w:pPr>
        <w:spacing w:before="120"/>
        <w:rPr>
          <w:b/>
          <w:szCs w:val="20"/>
          <w:lang w:val="en-US"/>
        </w:rPr>
      </w:pPr>
      <w:r w:rsidRPr="00C125FA">
        <w:rPr>
          <w:b/>
          <w:szCs w:val="20"/>
          <w:lang w:val="en-US"/>
        </w:rPr>
        <w:t xml:space="preserve">Methods and problems of menetary theory </w:t>
      </w:r>
    </w:p>
    <w:p w14:paraId="75717591" w14:textId="215421A8" w:rsidR="006A196B" w:rsidRPr="00C125FA" w:rsidRDefault="00D3115F" w:rsidP="006A196B">
      <w:pPr>
        <w:widowControl w:val="0"/>
        <w:tabs>
          <w:tab w:val="clear" w:pos="284"/>
          <w:tab w:val="left" w:pos="567"/>
          <w:tab w:val="right" w:pos="6350"/>
        </w:tabs>
        <w:spacing w:line="242" w:lineRule="exact"/>
        <w:ind w:left="567" w:right="851" w:hanging="567"/>
        <w:rPr>
          <w:rFonts w:eastAsiaTheme="minorHAnsi"/>
          <w:szCs w:val="20"/>
          <w:lang w:val="en-US" w:eastAsia="en-US"/>
        </w:rPr>
      </w:pPr>
      <w:r w:rsidRPr="00C125FA">
        <w:rPr>
          <w:rFonts w:eastAsiaTheme="minorHAnsi"/>
          <w:szCs w:val="20"/>
          <w:lang w:val="en-US" w:eastAsia="en-US"/>
        </w:rPr>
        <w:t xml:space="preserve">Monetary and real dimension of the economic system </w:t>
      </w:r>
    </w:p>
    <w:p w14:paraId="1CB8324A" w14:textId="339BF2C1" w:rsidR="006A196B" w:rsidRPr="00C125FA" w:rsidRDefault="00D3115F" w:rsidP="006A196B">
      <w:pPr>
        <w:widowControl w:val="0"/>
        <w:tabs>
          <w:tab w:val="clear" w:pos="284"/>
          <w:tab w:val="left" w:pos="567"/>
          <w:tab w:val="right" w:pos="6350"/>
        </w:tabs>
        <w:spacing w:line="242" w:lineRule="exact"/>
        <w:ind w:left="567" w:right="851" w:hanging="567"/>
        <w:rPr>
          <w:rFonts w:eastAsiaTheme="minorHAnsi"/>
          <w:szCs w:val="20"/>
          <w:lang w:val="en-US" w:eastAsia="en-US"/>
        </w:rPr>
      </w:pPr>
      <w:r w:rsidRPr="00C125FA">
        <w:rPr>
          <w:rFonts w:eastAsiaTheme="minorHAnsi"/>
          <w:szCs w:val="20"/>
          <w:lang w:val="en-US" w:eastAsia="en-US"/>
        </w:rPr>
        <w:t xml:space="preserve">The currency in the general economic balance </w:t>
      </w:r>
    </w:p>
    <w:p w14:paraId="616E0909" w14:textId="00BC983E" w:rsidR="006A196B" w:rsidRPr="00C125FA" w:rsidRDefault="00D3115F" w:rsidP="006A196B">
      <w:pPr>
        <w:widowControl w:val="0"/>
        <w:tabs>
          <w:tab w:val="clear" w:pos="284"/>
          <w:tab w:val="left" w:pos="567"/>
          <w:tab w:val="right" w:pos="6350"/>
        </w:tabs>
        <w:spacing w:line="242" w:lineRule="exact"/>
        <w:ind w:left="567" w:right="851" w:hanging="567"/>
        <w:rPr>
          <w:rFonts w:eastAsiaTheme="minorHAnsi"/>
          <w:szCs w:val="20"/>
          <w:lang w:val="en-US" w:eastAsia="en-US"/>
        </w:rPr>
      </w:pPr>
      <w:r w:rsidRPr="00C125FA">
        <w:rPr>
          <w:rFonts w:eastAsiaTheme="minorHAnsi"/>
          <w:szCs w:val="20"/>
          <w:lang w:val="en-US" w:eastAsia="en-US"/>
        </w:rPr>
        <w:t>The debate on the nature and the consequences of financial savings</w:t>
      </w:r>
    </w:p>
    <w:p w14:paraId="555D9B66" w14:textId="5E292E3E" w:rsidR="006A196B" w:rsidRPr="00C125FA" w:rsidRDefault="002B35DD" w:rsidP="006A196B">
      <w:pPr>
        <w:spacing w:before="120"/>
        <w:rPr>
          <w:b/>
          <w:szCs w:val="20"/>
          <w:lang w:val="en-US"/>
        </w:rPr>
      </w:pPr>
      <w:r w:rsidRPr="00C125FA">
        <w:rPr>
          <w:b/>
          <w:szCs w:val="20"/>
          <w:lang w:val="en-US"/>
        </w:rPr>
        <w:t xml:space="preserve">The policies for the monetary government </w:t>
      </w:r>
    </w:p>
    <w:p w14:paraId="031F7EEF" w14:textId="7CA5E28F" w:rsidR="006A196B" w:rsidRPr="00C125FA" w:rsidRDefault="002B35DD" w:rsidP="006A196B">
      <w:pPr>
        <w:widowControl w:val="0"/>
        <w:tabs>
          <w:tab w:val="clear" w:pos="284"/>
          <w:tab w:val="left" w:pos="567"/>
          <w:tab w:val="right" w:pos="6350"/>
        </w:tabs>
        <w:spacing w:line="242" w:lineRule="exact"/>
        <w:ind w:left="567" w:right="851" w:hanging="567"/>
        <w:rPr>
          <w:rFonts w:eastAsiaTheme="minorHAnsi"/>
          <w:szCs w:val="20"/>
          <w:lang w:val="en-US" w:eastAsia="en-US"/>
        </w:rPr>
      </w:pPr>
      <w:r w:rsidRPr="00C125FA">
        <w:rPr>
          <w:rFonts w:eastAsiaTheme="minorHAnsi"/>
          <w:szCs w:val="20"/>
          <w:lang w:val="en-US" w:eastAsia="en-US"/>
        </w:rPr>
        <w:t>Monetarist and Keynesian recipes</w:t>
      </w:r>
    </w:p>
    <w:p w14:paraId="6A55595C" w14:textId="3416B85C" w:rsidR="006A196B" w:rsidRPr="00C125FA" w:rsidRDefault="006A196B" w:rsidP="006A196B">
      <w:pPr>
        <w:widowControl w:val="0"/>
        <w:tabs>
          <w:tab w:val="clear" w:pos="284"/>
          <w:tab w:val="left" w:pos="567"/>
          <w:tab w:val="right" w:pos="6350"/>
        </w:tabs>
        <w:spacing w:line="242" w:lineRule="exact"/>
        <w:ind w:left="567" w:right="851" w:hanging="567"/>
        <w:rPr>
          <w:rFonts w:eastAsiaTheme="minorHAnsi"/>
          <w:szCs w:val="20"/>
          <w:lang w:val="en-US" w:eastAsia="en-US"/>
        </w:rPr>
      </w:pPr>
      <w:r w:rsidRPr="00C125FA">
        <w:rPr>
          <w:rFonts w:eastAsiaTheme="minorHAnsi"/>
          <w:szCs w:val="20"/>
          <w:lang w:val="en-US" w:eastAsia="en-US"/>
        </w:rPr>
        <w:t>Effe</w:t>
      </w:r>
      <w:r w:rsidR="002B35DD" w:rsidRPr="00C125FA">
        <w:rPr>
          <w:rFonts w:eastAsiaTheme="minorHAnsi"/>
          <w:szCs w:val="20"/>
          <w:lang w:val="en-US" w:eastAsia="en-US"/>
        </w:rPr>
        <w:t xml:space="preserve">cts and </w:t>
      </w:r>
      <w:r w:rsidRPr="00C125FA">
        <w:rPr>
          <w:rFonts w:eastAsiaTheme="minorHAnsi"/>
          <w:szCs w:val="20"/>
          <w:lang w:val="en-US" w:eastAsia="en-US"/>
        </w:rPr>
        <w:t>limit</w:t>
      </w:r>
      <w:r w:rsidR="002B35DD" w:rsidRPr="00C125FA">
        <w:rPr>
          <w:rFonts w:eastAsiaTheme="minorHAnsi"/>
          <w:szCs w:val="20"/>
          <w:lang w:val="en-US" w:eastAsia="en-US"/>
        </w:rPr>
        <w:t>s of monetary policy</w:t>
      </w:r>
      <w:r w:rsidRPr="00C125FA">
        <w:rPr>
          <w:rFonts w:eastAsiaTheme="minorHAnsi"/>
          <w:szCs w:val="20"/>
          <w:lang w:val="en-US" w:eastAsia="en-US"/>
        </w:rPr>
        <w:t xml:space="preserve"> </w:t>
      </w:r>
    </w:p>
    <w:p w14:paraId="675203A6" w14:textId="790FD309" w:rsidR="006A196B" w:rsidRPr="00C125FA" w:rsidRDefault="003E5631" w:rsidP="0033751E">
      <w:pPr>
        <w:widowControl w:val="0"/>
        <w:tabs>
          <w:tab w:val="clear" w:pos="284"/>
          <w:tab w:val="left" w:pos="567"/>
          <w:tab w:val="right" w:pos="6350"/>
        </w:tabs>
        <w:spacing w:line="242" w:lineRule="exact"/>
        <w:ind w:left="567" w:right="851" w:hanging="567"/>
        <w:rPr>
          <w:rFonts w:eastAsiaTheme="minorHAnsi"/>
          <w:szCs w:val="20"/>
          <w:lang w:val="en-US" w:eastAsia="en-US"/>
        </w:rPr>
      </w:pPr>
      <w:r w:rsidRPr="00C125FA">
        <w:rPr>
          <w:rFonts w:eastAsiaTheme="minorHAnsi"/>
          <w:szCs w:val="20"/>
          <w:lang w:val="en-US" w:eastAsia="en-US"/>
        </w:rPr>
        <w:t xml:space="preserve">Effects and limits of fiscal policy </w:t>
      </w:r>
    </w:p>
    <w:p w14:paraId="5062F75B" w14:textId="77777777" w:rsidR="00BC1DAC" w:rsidRPr="00C125FA" w:rsidRDefault="00BC1DAC" w:rsidP="00BC1DAC">
      <w:pPr>
        <w:spacing w:before="240" w:after="120"/>
        <w:rPr>
          <w:b/>
          <w:i/>
          <w:sz w:val="18"/>
        </w:rPr>
      </w:pPr>
      <w:r w:rsidRPr="00C125FA">
        <w:rPr>
          <w:b/>
          <w:i/>
          <w:sz w:val="18"/>
        </w:rPr>
        <w:t>READING LIST</w:t>
      </w:r>
    </w:p>
    <w:p w14:paraId="7FB84827" w14:textId="77777777" w:rsidR="003D3152" w:rsidRPr="00C125FA" w:rsidRDefault="003D3152" w:rsidP="001D36E6">
      <w:pPr>
        <w:pStyle w:val="Testo1"/>
        <w:spacing w:before="0"/>
        <w:rPr>
          <w:noProof w:val="0"/>
          <w:lang w:val="en-US"/>
        </w:rPr>
      </w:pPr>
      <w:r w:rsidRPr="00C125FA">
        <w:rPr>
          <w:smallCaps/>
          <w:noProof w:val="0"/>
          <w:sz w:val="16"/>
        </w:rPr>
        <w:t>Banca Centrale Europea</w:t>
      </w:r>
      <w:r w:rsidRPr="00C125FA">
        <w:rPr>
          <w:noProof w:val="0"/>
          <w:sz w:val="16"/>
        </w:rPr>
        <w:t xml:space="preserve"> </w:t>
      </w:r>
      <w:r w:rsidRPr="00C125FA">
        <w:rPr>
          <w:noProof w:val="0"/>
        </w:rPr>
        <w:t xml:space="preserve">(2004). </w:t>
      </w:r>
      <w:proofErr w:type="spellStart"/>
      <w:r w:rsidRPr="00C125FA">
        <w:rPr>
          <w:i/>
          <w:noProof w:val="0"/>
          <w:lang w:val="en-US"/>
        </w:rPr>
        <w:t>L’attuazione</w:t>
      </w:r>
      <w:proofErr w:type="spellEnd"/>
      <w:r w:rsidR="00061A15" w:rsidRPr="00C125FA">
        <w:rPr>
          <w:i/>
          <w:noProof w:val="0"/>
          <w:lang w:val="en-US"/>
        </w:rPr>
        <w:t xml:space="preserve"> </w:t>
      </w:r>
      <w:r w:rsidRPr="00C125FA">
        <w:rPr>
          <w:i/>
          <w:noProof w:val="0"/>
          <w:lang w:val="en-US"/>
        </w:rPr>
        <w:t>della</w:t>
      </w:r>
      <w:r w:rsidR="00061A15" w:rsidRPr="00C125FA">
        <w:rPr>
          <w:i/>
          <w:noProof w:val="0"/>
          <w:lang w:val="en-US"/>
        </w:rPr>
        <w:t xml:space="preserve"> </w:t>
      </w:r>
      <w:proofErr w:type="spellStart"/>
      <w:r w:rsidRPr="00C125FA">
        <w:rPr>
          <w:i/>
          <w:noProof w:val="0"/>
          <w:lang w:val="en-US"/>
        </w:rPr>
        <w:t>politica</w:t>
      </w:r>
      <w:proofErr w:type="spellEnd"/>
      <w:r w:rsidR="00061A15" w:rsidRPr="00C125FA">
        <w:rPr>
          <w:i/>
          <w:noProof w:val="0"/>
          <w:lang w:val="en-US"/>
        </w:rPr>
        <w:t xml:space="preserve"> </w:t>
      </w:r>
      <w:proofErr w:type="spellStart"/>
      <w:r w:rsidRPr="00C125FA">
        <w:rPr>
          <w:i/>
          <w:noProof w:val="0"/>
          <w:lang w:val="en-US"/>
        </w:rPr>
        <w:t>monetaria</w:t>
      </w:r>
      <w:proofErr w:type="spellEnd"/>
      <w:r w:rsidR="00BC1DAC" w:rsidRPr="00C125FA">
        <w:rPr>
          <w:noProof w:val="0"/>
          <w:lang w:val="en-US"/>
        </w:rPr>
        <w:t>, Chapter 4 of</w:t>
      </w:r>
      <w:r w:rsidR="00061A15" w:rsidRPr="00C125FA">
        <w:rPr>
          <w:noProof w:val="0"/>
          <w:lang w:val="en-US"/>
        </w:rPr>
        <w:t xml:space="preserve"> </w:t>
      </w:r>
      <w:r w:rsidRPr="00C125FA">
        <w:rPr>
          <w:i/>
          <w:noProof w:val="0"/>
          <w:lang w:val="en-US"/>
        </w:rPr>
        <w:t xml:space="preserve">La </w:t>
      </w:r>
      <w:proofErr w:type="spellStart"/>
      <w:r w:rsidRPr="00C125FA">
        <w:rPr>
          <w:i/>
          <w:noProof w:val="0"/>
          <w:lang w:val="en-US"/>
        </w:rPr>
        <w:t>politica</w:t>
      </w:r>
      <w:proofErr w:type="spellEnd"/>
      <w:r w:rsidR="00061A15" w:rsidRPr="00C125FA">
        <w:rPr>
          <w:i/>
          <w:noProof w:val="0"/>
          <w:lang w:val="en-US"/>
        </w:rPr>
        <w:t xml:space="preserve"> </w:t>
      </w:r>
      <w:proofErr w:type="spellStart"/>
      <w:r w:rsidRPr="00C125FA">
        <w:rPr>
          <w:i/>
          <w:noProof w:val="0"/>
          <w:lang w:val="en-US"/>
        </w:rPr>
        <w:t>monetaria</w:t>
      </w:r>
      <w:proofErr w:type="spellEnd"/>
      <w:r w:rsidR="00061A15" w:rsidRPr="00C125FA">
        <w:rPr>
          <w:i/>
          <w:noProof w:val="0"/>
          <w:lang w:val="en-US"/>
        </w:rPr>
        <w:t xml:space="preserve"> </w:t>
      </w:r>
      <w:r w:rsidRPr="00C125FA">
        <w:rPr>
          <w:i/>
          <w:noProof w:val="0"/>
          <w:lang w:val="en-US"/>
        </w:rPr>
        <w:t>della BCE</w:t>
      </w:r>
      <w:r w:rsidR="001D36E6" w:rsidRPr="00C125FA">
        <w:rPr>
          <w:i/>
          <w:noProof w:val="0"/>
          <w:lang w:val="en-US"/>
        </w:rPr>
        <w:t>,</w:t>
      </w:r>
      <w:r w:rsidR="00061A15" w:rsidRPr="00C125FA">
        <w:rPr>
          <w:i/>
          <w:noProof w:val="0"/>
          <w:lang w:val="en-US"/>
        </w:rPr>
        <w:t xml:space="preserve"> </w:t>
      </w:r>
      <w:r w:rsidR="00BC1DAC" w:rsidRPr="00C125FA">
        <w:rPr>
          <w:noProof w:val="0"/>
          <w:lang w:val="en-US"/>
        </w:rPr>
        <w:t xml:space="preserve">with addition from </w:t>
      </w:r>
      <w:r w:rsidRPr="00C125FA">
        <w:rPr>
          <w:i/>
          <w:noProof w:val="0"/>
          <w:lang w:val="en-US"/>
        </w:rPr>
        <w:t>Monetary policy implementation</w:t>
      </w:r>
      <w:r w:rsidR="00BC1DAC" w:rsidRPr="00C125FA">
        <w:rPr>
          <w:noProof w:val="0"/>
          <w:lang w:val="en-US"/>
        </w:rPr>
        <w:t>, Chapter</w:t>
      </w:r>
      <w:r w:rsidRPr="00C125FA">
        <w:rPr>
          <w:noProof w:val="0"/>
          <w:lang w:val="en-US"/>
        </w:rPr>
        <w:t xml:space="preserve"> 4 </w:t>
      </w:r>
      <w:r w:rsidR="00BC1DAC" w:rsidRPr="00C125FA">
        <w:rPr>
          <w:noProof w:val="0"/>
          <w:lang w:val="en-US"/>
        </w:rPr>
        <w:t>of</w:t>
      </w:r>
      <w:r w:rsidRPr="00C125FA">
        <w:rPr>
          <w:noProof w:val="0"/>
          <w:lang w:val="en-US"/>
        </w:rPr>
        <w:t xml:space="preserve"> European Central Bank (2011) The Monetary Policy of the ECB.</w:t>
      </w:r>
    </w:p>
    <w:p w14:paraId="5BB50829" w14:textId="77777777" w:rsidR="007C2303" w:rsidRPr="00C125FA" w:rsidRDefault="007C2303" w:rsidP="007C2303">
      <w:pPr>
        <w:pStyle w:val="Testo1"/>
        <w:spacing w:before="0"/>
      </w:pPr>
      <w:r w:rsidRPr="00C125FA">
        <w:rPr>
          <w:smallCaps/>
          <w:sz w:val="16"/>
        </w:rPr>
        <w:t>Banca Centrale Europea</w:t>
      </w:r>
      <w:r w:rsidRPr="00C125FA">
        <w:rPr>
          <w:sz w:val="16"/>
        </w:rPr>
        <w:t xml:space="preserve"> </w:t>
      </w:r>
      <w:r w:rsidRPr="00C125FA">
        <w:t xml:space="preserve">(2015). </w:t>
      </w:r>
      <w:r w:rsidRPr="00C125FA">
        <w:rPr>
          <w:i/>
        </w:rPr>
        <w:t>Il ruolo del bilancio della banca centrale nella politica monetaria</w:t>
      </w:r>
      <w:r w:rsidRPr="00C125FA">
        <w:t>, Bollettino Economico, N.4, pp.69-88.</w:t>
      </w:r>
    </w:p>
    <w:p w14:paraId="4B0700CF" w14:textId="77777777" w:rsidR="007C2303" w:rsidRPr="00C125FA" w:rsidRDefault="007C2303" w:rsidP="007C2303">
      <w:pPr>
        <w:pStyle w:val="Testo1"/>
        <w:spacing w:before="0"/>
      </w:pPr>
      <w:r w:rsidRPr="00C125FA">
        <w:rPr>
          <w:smallCaps/>
          <w:sz w:val="16"/>
          <w:lang w:val="en-US"/>
        </w:rPr>
        <w:t xml:space="preserve">Mishkin, F. S.-S. G. Eakins-G. </w:t>
      </w:r>
      <w:r w:rsidRPr="00C125FA">
        <w:rPr>
          <w:smallCaps/>
          <w:sz w:val="16"/>
        </w:rPr>
        <w:t>Forestieri</w:t>
      </w:r>
      <w:r w:rsidRPr="00C125FA">
        <w:rPr>
          <w:sz w:val="16"/>
        </w:rPr>
        <w:t xml:space="preserve"> </w:t>
      </w:r>
      <w:r w:rsidRPr="00C125FA">
        <w:t xml:space="preserve">(2015). Capitolo 3, Capitolo 5, Capitolo 9 di </w:t>
      </w:r>
      <w:r w:rsidRPr="00C125FA">
        <w:rPr>
          <w:i/>
        </w:rPr>
        <w:t>Istituzioni e mercati finanziari</w:t>
      </w:r>
      <w:r w:rsidRPr="00C125FA">
        <w:t>, Pearson Prentice Hall.</w:t>
      </w:r>
    </w:p>
    <w:p w14:paraId="66B6DEF6" w14:textId="77003656" w:rsidR="00DF4651" w:rsidRPr="00C125FA" w:rsidRDefault="00DF4651" w:rsidP="00DF4651">
      <w:pPr>
        <w:pStyle w:val="Testo1"/>
        <w:spacing w:before="0"/>
      </w:pPr>
      <w:r w:rsidRPr="00C125FA">
        <w:rPr>
          <w:smallCaps/>
          <w:sz w:val="16"/>
        </w:rPr>
        <w:t>A. Terzi</w:t>
      </w:r>
      <w:r w:rsidRPr="00C125FA">
        <w:t xml:space="preserve">, </w:t>
      </w:r>
      <w:r w:rsidR="00FF3D12" w:rsidRPr="00C125FA">
        <w:t>(202</w:t>
      </w:r>
      <w:r w:rsidR="000C7D26">
        <w:t>4</w:t>
      </w:r>
      <w:r w:rsidR="00FF3D12" w:rsidRPr="00C125FA">
        <w:t>)</w:t>
      </w:r>
      <w:r w:rsidRPr="00C125FA">
        <w:t xml:space="preserve">. </w:t>
      </w:r>
      <w:r w:rsidRPr="00C125FA">
        <w:rPr>
          <w:i/>
        </w:rPr>
        <w:t>Il governo della moneta</w:t>
      </w:r>
      <w:r w:rsidRPr="00C125FA">
        <w:t>, Giappichelli, Torino</w:t>
      </w:r>
      <w:r w:rsidR="00B55B2D">
        <w:t xml:space="preserve">, </w:t>
      </w:r>
      <w:r w:rsidR="00374BD7">
        <w:t xml:space="preserve">second edition, </w:t>
      </w:r>
      <w:r w:rsidR="00B55B2D">
        <w:t>in publishing.</w:t>
      </w:r>
    </w:p>
    <w:p w14:paraId="10947470" w14:textId="77777777" w:rsidR="003D3152" w:rsidRPr="00C125FA" w:rsidRDefault="00BC1DAC" w:rsidP="001D36E6">
      <w:pPr>
        <w:pStyle w:val="Testo1"/>
        <w:spacing w:before="0"/>
        <w:rPr>
          <w:noProof w:val="0"/>
          <w:lang w:val="en-GB"/>
        </w:rPr>
      </w:pPr>
      <w:r w:rsidRPr="00C125FA">
        <w:rPr>
          <w:noProof w:val="0"/>
          <w:lang w:val="en-GB"/>
        </w:rPr>
        <w:t>Slides by the lecturer</w:t>
      </w:r>
      <w:r w:rsidR="003D3152" w:rsidRPr="00C125FA">
        <w:rPr>
          <w:noProof w:val="0"/>
          <w:lang w:val="en-GB"/>
        </w:rPr>
        <w:t>.</w:t>
      </w:r>
    </w:p>
    <w:p w14:paraId="2A43A3D6" w14:textId="77777777" w:rsidR="00BC1DAC" w:rsidRPr="00C125FA" w:rsidRDefault="00BC1DAC" w:rsidP="00BC1DAC">
      <w:pPr>
        <w:spacing w:before="240" w:after="120"/>
        <w:rPr>
          <w:b/>
          <w:i/>
          <w:sz w:val="18"/>
          <w:lang w:val="en-GB"/>
        </w:rPr>
      </w:pPr>
      <w:r w:rsidRPr="00C125FA">
        <w:rPr>
          <w:b/>
          <w:i/>
          <w:sz w:val="18"/>
          <w:lang w:val="en-GB"/>
        </w:rPr>
        <w:t>TEACHING METHOD</w:t>
      </w:r>
    </w:p>
    <w:p w14:paraId="7FF11697" w14:textId="77777777" w:rsidR="00BC1DAC" w:rsidRPr="00C125FA" w:rsidRDefault="00BC1DAC" w:rsidP="00BC1DAC">
      <w:pPr>
        <w:spacing w:before="240" w:after="120"/>
        <w:rPr>
          <w:sz w:val="18"/>
          <w:lang w:val="en-GB"/>
        </w:rPr>
      </w:pPr>
      <w:r w:rsidRPr="00C125FA">
        <w:rPr>
          <w:sz w:val="18"/>
          <w:lang w:val="en-GB"/>
        </w:rPr>
        <w:t xml:space="preserve">Frontal lectures, use of the Blackboard platform. </w:t>
      </w:r>
    </w:p>
    <w:p w14:paraId="5EFC947E" w14:textId="77777777" w:rsidR="00033EFE" w:rsidRPr="00C125FA" w:rsidRDefault="00BC1DAC" w:rsidP="007C2303">
      <w:pPr>
        <w:pStyle w:val="Testo2"/>
        <w:spacing w:before="240" w:after="120"/>
        <w:ind w:firstLine="0"/>
        <w:rPr>
          <w:b/>
          <w:i/>
          <w:noProof w:val="0"/>
          <w:lang w:val="en-GB"/>
        </w:rPr>
      </w:pPr>
      <w:r w:rsidRPr="00C125FA">
        <w:rPr>
          <w:b/>
          <w:i/>
          <w:noProof w:val="0"/>
          <w:lang w:val="en-GB"/>
        </w:rPr>
        <w:t>ASSESSMENT METHOD AND CRITERIA</w:t>
      </w:r>
    </w:p>
    <w:p w14:paraId="1AD98682" w14:textId="1B6771C9" w:rsidR="006A196B" w:rsidRPr="00C125FA" w:rsidRDefault="000C495B" w:rsidP="006A196B">
      <w:pPr>
        <w:pStyle w:val="Testo2"/>
        <w:rPr>
          <w:noProof w:val="0"/>
          <w:lang w:val="en-GB"/>
        </w:rPr>
      </w:pPr>
      <w:r w:rsidRPr="00C125FA">
        <w:rPr>
          <w:noProof w:val="0"/>
          <w:lang w:val="en-GB"/>
        </w:rPr>
        <w:t xml:space="preserve">Students are assessed through a written test that includes applicative open and close ended questions and exercises. The exam commission may request an oral test to confirm the mark of the written exam. There will be an interim test for all students enrolled in the course. The mark will count 1/3 of the final mark only for those students who complete the test in the first session of the summer session and under the condition that the mark is higher than that obtained in the final exam. After this date the mark of the interim test will </w:t>
      </w:r>
      <w:r w:rsidR="00AB20AF" w:rsidRPr="00C125FA">
        <w:rPr>
          <w:noProof w:val="0"/>
          <w:lang w:val="en-GB"/>
        </w:rPr>
        <w:t xml:space="preserve">expire. Further details will be published on </w:t>
      </w:r>
      <w:r w:rsidR="00AB20AF" w:rsidRPr="00C125FA">
        <w:rPr>
          <w:i/>
          <w:iCs/>
          <w:noProof w:val="0"/>
          <w:lang w:val="en-GB"/>
        </w:rPr>
        <w:t>Blackboard</w:t>
      </w:r>
      <w:r w:rsidR="00AB20AF" w:rsidRPr="00C125FA">
        <w:rPr>
          <w:noProof w:val="0"/>
          <w:lang w:val="en-GB"/>
        </w:rPr>
        <w:t xml:space="preserve">.  </w:t>
      </w:r>
    </w:p>
    <w:p w14:paraId="2609EFD0" w14:textId="77777777" w:rsidR="003D3152" w:rsidRPr="00C125FA" w:rsidRDefault="00170E51" w:rsidP="003D3152">
      <w:pPr>
        <w:pStyle w:val="Testo2"/>
        <w:rPr>
          <w:noProof w:val="0"/>
          <w:lang w:val="en-GB"/>
        </w:rPr>
      </w:pPr>
      <w:r w:rsidRPr="00C125FA">
        <w:rPr>
          <w:noProof w:val="0"/>
          <w:lang w:val="en-GB"/>
        </w:rPr>
        <w:t xml:space="preserve">The final exam aims to assess students’ preparation in relation to the learning objectives. Through questions on relevant points of the </w:t>
      </w:r>
      <w:r w:rsidR="003A2559" w:rsidRPr="00C125FA">
        <w:rPr>
          <w:noProof w:val="0"/>
          <w:lang w:val="en-GB"/>
        </w:rPr>
        <w:t>syllabus</w:t>
      </w:r>
      <w:r w:rsidRPr="00C125FA">
        <w:rPr>
          <w:noProof w:val="0"/>
          <w:lang w:val="en-GB"/>
        </w:rPr>
        <w:t>, students will be assessed on their level of overall knowledge acquired and their ability to critically deal with the topics studied</w:t>
      </w:r>
      <w:r w:rsidR="00033EFE" w:rsidRPr="00C125FA">
        <w:rPr>
          <w:noProof w:val="0"/>
          <w:lang w:val="en-GB"/>
        </w:rPr>
        <w:t>,</w:t>
      </w:r>
      <w:r w:rsidRPr="00C125FA">
        <w:rPr>
          <w:noProof w:val="0"/>
          <w:lang w:val="en-GB"/>
        </w:rPr>
        <w:t xml:space="preserve"> also by connecting different parts of the </w:t>
      </w:r>
      <w:r w:rsidR="003A2559" w:rsidRPr="00C125FA">
        <w:rPr>
          <w:noProof w:val="0"/>
          <w:lang w:val="en-GB"/>
        </w:rPr>
        <w:t>syllabus</w:t>
      </w:r>
      <w:r w:rsidRPr="00C125FA">
        <w:rPr>
          <w:noProof w:val="0"/>
          <w:lang w:val="en-GB"/>
        </w:rPr>
        <w:t>. The final mark i</w:t>
      </w:r>
      <w:r w:rsidR="00033EFE" w:rsidRPr="00C125FA">
        <w:rPr>
          <w:noProof w:val="0"/>
          <w:lang w:val="en-GB"/>
        </w:rPr>
        <w:t>s</w:t>
      </w:r>
      <w:r w:rsidRPr="00C125FA">
        <w:rPr>
          <w:noProof w:val="0"/>
          <w:lang w:val="en-GB"/>
        </w:rPr>
        <w:t xml:space="preserve"> also based on students’ logical organi</w:t>
      </w:r>
      <w:r w:rsidR="003A2559" w:rsidRPr="00C125FA">
        <w:rPr>
          <w:noProof w:val="0"/>
          <w:lang w:val="en-GB"/>
        </w:rPr>
        <w:t>s</w:t>
      </w:r>
      <w:r w:rsidRPr="00C125FA">
        <w:rPr>
          <w:noProof w:val="0"/>
          <w:lang w:val="en-GB"/>
        </w:rPr>
        <w:t xml:space="preserve">ation, </w:t>
      </w:r>
      <w:r w:rsidR="004F2B92" w:rsidRPr="00C125FA">
        <w:rPr>
          <w:noProof w:val="0"/>
          <w:lang w:val="en-GB"/>
        </w:rPr>
        <w:t>their</w:t>
      </w:r>
      <w:r w:rsidRPr="00C125FA">
        <w:rPr>
          <w:noProof w:val="0"/>
          <w:lang w:val="en-GB"/>
        </w:rPr>
        <w:t xml:space="preserve"> analytical skills, </w:t>
      </w:r>
      <w:r w:rsidR="004F2B92" w:rsidRPr="00C125FA">
        <w:rPr>
          <w:noProof w:val="0"/>
          <w:lang w:val="en-GB"/>
        </w:rPr>
        <w:t xml:space="preserve">their </w:t>
      </w:r>
      <w:r w:rsidRPr="00C125FA">
        <w:rPr>
          <w:noProof w:val="0"/>
          <w:lang w:val="en-GB"/>
        </w:rPr>
        <w:t>ability to summari</w:t>
      </w:r>
      <w:r w:rsidR="003A2559" w:rsidRPr="00C125FA">
        <w:rPr>
          <w:noProof w:val="0"/>
          <w:lang w:val="en-GB"/>
        </w:rPr>
        <w:t>s</w:t>
      </w:r>
      <w:r w:rsidRPr="00C125FA">
        <w:rPr>
          <w:noProof w:val="0"/>
          <w:lang w:val="en-GB"/>
        </w:rPr>
        <w:t>e and their maste</w:t>
      </w:r>
      <w:r w:rsidR="00033EFE" w:rsidRPr="00C125FA">
        <w:rPr>
          <w:noProof w:val="0"/>
          <w:lang w:val="en-GB"/>
        </w:rPr>
        <w:t>ry</w:t>
      </w:r>
      <w:r w:rsidRPr="00C125FA">
        <w:rPr>
          <w:noProof w:val="0"/>
          <w:lang w:val="en-GB"/>
        </w:rPr>
        <w:t xml:space="preserve"> of language demonstrated</w:t>
      </w:r>
      <w:r w:rsidR="004F2B92" w:rsidRPr="00C125FA">
        <w:rPr>
          <w:noProof w:val="0"/>
          <w:lang w:val="en-GB"/>
        </w:rPr>
        <w:t xml:space="preserve"> during the exam</w:t>
      </w:r>
      <w:r w:rsidRPr="00C125FA">
        <w:rPr>
          <w:noProof w:val="0"/>
          <w:lang w:val="en-GB"/>
        </w:rPr>
        <w:t>.</w:t>
      </w:r>
    </w:p>
    <w:p w14:paraId="6641B615" w14:textId="77777777" w:rsidR="003D3152" w:rsidRPr="00C125FA" w:rsidRDefault="00BC1DAC" w:rsidP="003D3152">
      <w:pPr>
        <w:spacing w:before="240" w:after="120" w:line="240" w:lineRule="exact"/>
        <w:rPr>
          <w:b/>
          <w:i/>
          <w:sz w:val="18"/>
          <w:lang w:val="en-GB"/>
        </w:rPr>
      </w:pPr>
      <w:r w:rsidRPr="00C125FA">
        <w:rPr>
          <w:b/>
          <w:i/>
          <w:sz w:val="18"/>
          <w:lang w:val="en-GB"/>
        </w:rPr>
        <w:lastRenderedPageBreak/>
        <w:t>NOTES AND</w:t>
      </w:r>
      <w:r w:rsidR="003D3152" w:rsidRPr="00C125FA">
        <w:rPr>
          <w:b/>
          <w:i/>
          <w:sz w:val="18"/>
          <w:lang w:val="en-GB"/>
        </w:rPr>
        <w:t xml:space="preserve"> PREREQUISIT</w:t>
      </w:r>
      <w:r w:rsidRPr="00C125FA">
        <w:rPr>
          <w:b/>
          <w:i/>
          <w:sz w:val="18"/>
          <w:lang w:val="en-GB"/>
        </w:rPr>
        <w:t>ES</w:t>
      </w:r>
    </w:p>
    <w:p w14:paraId="01F33453" w14:textId="77777777" w:rsidR="003D3152" w:rsidRPr="00C125FA" w:rsidRDefault="00BC1DAC" w:rsidP="003D3152">
      <w:pPr>
        <w:pStyle w:val="Testo2"/>
        <w:rPr>
          <w:noProof w:val="0"/>
          <w:lang w:val="en-GB"/>
        </w:rPr>
      </w:pPr>
      <w:r w:rsidRPr="00C125FA">
        <w:rPr>
          <w:noProof w:val="0"/>
          <w:lang w:val="en-GB"/>
        </w:rPr>
        <w:t>Regular attendance and active participation are strongly recommended. Students must have knowledge in microeconomics and macroeconomics</w:t>
      </w:r>
      <w:r w:rsidR="003A2559" w:rsidRPr="00C125FA">
        <w:rPr>
          <w:noProof w:val="0"/>
          <w:lang w:val="en-GB"/>
        </w:rPr>
        <w:t>,</w:t>
      </w:r>
      <w:r w:rsidRPr="00C125FA">
        <w:rPr>
          <w:noProof w:val="0"/>
          <w:lang w:val="en-GB"/>
        </w:rPr>
        <w:t xml:space="preserve"> which are necessary for an appropriate understanding of lectures. </w:t>
      </w:r>
    </w:p>
    <w:p w14:paraId="10E470C0" w14:textId="49C83365" w:rsidR="00F9239F" w:rsidRDefault="007C2303" w:rsidP="003D3152">
      <w:pPr>
        <w:pStyle w:val="Testo2"/>
        <w:rPr>
          <w:rFonts w:cs="Times"/>
          <w:szCs w:val="18"/>
          <w:lang w:val="en-GB"/>
        </w:rPr>
      </w:pPr>
      <w:r w:rsidRPr="00C125FA">
        <w:rPr>
          <w:rFonts w:cs="Times"/>
          <w:szCs w:val="18"/>
          <w:lang w:val="en-GB"/>
        </w:rPr>
        <w:t>Further information can be found on the lecturer's webpage at http://docenti.unicatt.it/web/searchByName.do?language=ENG, or on the Faculty notice board.</w:t>
      </w:r>
    </w:p>
    <w:p w14:paraId="20688508" w14:textId="64C4477D" w:rsidR="00200D94" w:rsidRDefault="00200D94" w:rsidP="003D3152">
      <w:pPr>
        <w:pStyle w:val="Testo2"/>
        <w:rPr>
          <w:rFonts w:cs="Times"/>
          <w:szCs w:val="18"/>
          <w:lang w:val="en-GB"/>
        </w:rPr>
      </w:pPr>
    </w:p>
    <w:p w14:paraId="58F78078" w14:textId="554B443C" w:rsidR="00200D94" w:rsidRPr="007C2303" w:rsidRDefault="00200D94" w:rsidP="0091507F">
      <w:pPr>
        <w:pStyle w:val="Testo2"/>
        <w:ind w:firstLine="0"/>
        <w:rPr>
          <w:b/>
          <w:i/>
          <w:noProof w:val="0"/>
          <w:lang w:val="en-GB"/>
        </w:rPr>
      </w:pPr>
    </w:p>
    <w:sectPr w:rsidR="00200D94" w:rsidRPr="007C230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22C95"/>
    <w:multiLevelType w:val="hybridMultilevel"/>
    <w:tmpl w:val="0DA00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F0B09"/>
    <w:multiLevelType w:val="hybridMultilevel"/>
    <w:tmpl w:val="AC863E1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08834118">
    <w:abstractNumId w:val="0"/>
  </w:num>
  <w:num w:numId="2" w16cid:durableId="377827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06A"/>
    <w:rsid w:val="000228C7"/>
    <w:rsid w:val="00033EFE"/>
    <w:rsid w:val="00061A15"/>
    <w:rsid w:val="000C495B"/>
    <w:rsid w:val="000C7D26"/>
    <w:rsid w:val="000F4B55"/>
    <w:rsid w:val="00170E51"/>
    <w:rsid w:val="00187B99"/>
    <w:rsid w:val="001B5BA3"/>
    <w:rsid w:val="001D36E6"/>
    <w:rsid w:val="001D6431"/>
    <w:rsid w:val="00200D94"/>
    <w:rsid w:val="002014DD"/>
    <w:rsid w:val="002B35DD"/>
    <w:rsid w:val="002D5E17"/>
    <w:rsid w:val="0033751E"/>
    <w:rsid w:val="00352B62"/>
    <w:rsid w:val="00374BD7"/>
    <w:rsid w:val="003A2559"/>
    <w:rsid w:val="003D3152"/>
    <w:rsid w:val="003E11DC"/>
    <w:rsid w:val="003E5631"/>
    <w:rsid w:val="00433BD5"/>
    <w:rsid w:val="004D1217"/>
    <w:rsid w:val="004D6008"/>
    <w:rsid w:val="004F2B92"/>
    <w:rsid w:val="005C7BB7"/>
    <w:rsid w:val="005D6FEC"/>
    <w:rsid w:val="00614CB7"/>
    <w:rsid w:val="00640794"/>
    <w:rsid w:val="00667969"/>
    <w:rsid w:val="006A196B"/>
    <w:rsid w:val="006E2FFE"/>
    <w:rsid w:val="006F1772"/>
    <w:rsid w:val="0072222F"/>
    <w:rsid w:val="007C2303"/>
    <w:rsid w:val="007F3796"/>
    <w:rsid w:val="0088265D"/>
    <w:rsid w:val="008942E7"/>
    <w:rsid w:val="008A1204"/>
    <w:rsid w:val="00900CCA"/>
    <w:rsid w:val="009102A4"/>
    <w:rsid w:val="0091507F"/>
    <w:rsid w:val="00924B77"/>
    <w:rsid w:val="00940DA2"/>
    <w:rsid w:val="009E055C"/>
    <w:rsid w:val="00A010B3"/>
    <w:rsid w:val="00A74F6F"/>
    <w:rsid w:val="00AA30B0"/>
    <w:rsid w:val="00AA5385"/>
    <w:rsid w:val="00AB20AF"/>
    <w:rsid w:val="00AD7557"/>
    <w:rsid w:val="00AE2B14"/>
    <w:rsid w:val="00B50C5D"/>
    <w:rsid w:val="00B51253"/>
    <w:rsid w:val="00B525CC"/>
    <w:rsid w:val="00B55B2D"/>
    <w:rsid w:val="00BC1DAC"/>
    <w:rsid w:val="00C125FA"/>
    <w:rsid w:val="00C53DA3"/>
    <w:rsid w:val="00C90983"/>
    <w:rsid w:val="00D3115F"/>
    <w:rsid w:val="00D404F2"/>
    <w:rsid w:val="00D8106A"/>
    <w:rsid w:val="00D928CB"/>
    <w:rsid w:val="00DF1772"/>
    <w:rsid w:val="00DF4651"/>
    <w:rsid w:val="00E607E6"/>
    <w:rsid w:val="00F048DB"/>
    <w:rsid w:val="00F20745"/>
    <w:rsid w:val="00F2382C"/>
    <w:rsid w:val="00F672CA"/>
    <w:rsid w:val="00F9239F"/>
    <w:rsid w:val="00F977DC"/>
    <w:rsid w:val="00FF2532"/>
    <w:rsid w:val="00FF3D1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DB582"/>
  <w15:docId w15:val="{101EFB59-03C8-AA4D-A130-3DAAC04C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352B6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52B62"/>
    <w:rPr>
      <w:rFonts w:ascii="Segoe UI" w:hAnsi="Segoe UI" w:cs="Segoe UI"/>
      <w:sz w:val="18"/>
      <w:szCs w:val="18"/>
    </w:rPr>
  </w:style>
  <w:style w:type="paragraph" w:styleId="NormaleWeb">
    <w:name w:val="Normal (Web)"/>
    <w:basedOn w:val="Normale"/>
    <w:uiPriority w:val="99"/>
    <w:unhideWhenUsed/>
    <w:rsid w:val="00033EFE"/>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46C45-68CB-41F5-AE4E-C39BD71E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3</Pages>
  <Words>658</Words>
  <Characters>3841</Characters>
  <Application>Microsoft Office Word</Application>
  <DocSecurity>0</DocSecurity>
  <Lines>32</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3</cp:revision>
  <cp:lastPrinted>2019-05-27T12:11:00Z</cp:lastPrinted>
  <dcterms:created xsi:type="dcterms:W3CDTF">2023-07-03T14:56:00Z</dcterms:created>
  <dcterms:modified xsi:type="dcterms:W3CDTF">2023-09-18T07:43:00Z</dcterms:modified>
</cp:coreProperties>
</file>