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864D" w14:textId="60B58BDA" w:rsidR="00922F48" w:rsidRPr="00F726DE" w:rsidRDefault="00584CC2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GB" w:eastAsia="it-IT"/>
        </w:rPr>
      </w:pP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 xml:space="preserve">Business </w:t>
      </w:r>
      <w:r w:rsidR="00DC2A14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C</w:t>
      </w: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risi</w:t>
      </w:r>
      <w:r w:rsid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s</w:t>
      </w: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 xml:space="preserve"> </w:t>
      </w:r>
      <w:r w:rsidR="00DC2A14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L</w:t>
      </w:r>
      <w:r w:rsidRPr="00F726DE">
        <w:rPr>
          <w:rFonts w:ascii="Times" w:eastAsia="Times New Roman" w:hAnsi="Times" w:cs="Times New Roman"/>
          <w:b/>
          <w:sz w:val="18"/>
          <w:szCs w:val="20"/>
          <w:lang w:val="en-GB" w:eastAsia="it-IT"/>
        </w:rPr>
        <w:t>aw</w:t>
      </w:r>
    </w:p>
    <w:p w14:paraId="32BF6C32" w14:textId="72DF8406" w:rsid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</w:pPr>
      <w:r w:rsidRPr="00F726DE">
        <w:rPr>
          <w:rFonts w:ascii="Times" w:eastAsia="Times New Roman" w:hAnsi="Times" w:cs="Times New Roman"/>
          <w:smallCaps/>
          <w:sz w:val="18"/>
          <w:szCs w:val="20"/>
          <w:lang w:val="en-GB" w:eastAsia="it-IT"/>
        </w:rPr>
        <w:t>Prof. Amedeo Valzer</w:t>
      </w:r>
    </w:p>
    <w:p w14:paraId="0E8342F0" w14:textId="16E77573" w:rsidR="0012352C" w:rsidRPr="00F726DE" w:rsidRDefault="00F726DE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AIMS AND INTENDED LEARNING OUTCOMES</w:t>
      </w:r>
    </w:p>
    <w:p w14:paraId="5CABA9D5" w14:textId="6D045C30" w:rsidR="0012352C" w:rsidRPr="003E6895" w:rsidRDefault="00F726DE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The course aims to explore the legal framework on business crisis management</w:t>
      </w:r>
      <w:r w:rsidR="00DB55E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. 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 particular, it aims to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introduce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– from 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a theoretical and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practical perspective 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–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the institutions that are responsible for the identification and prevention of business crisis</w:t>
      </w:r>
      <w:r w:rsidR="00C10CC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, and analyse the collective procedures aimed at conservation or liquidation. Furthermore, the course aims to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illustrate</w:t>
      </w:r>
      <w:r w:rsidR="00C10CC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procedures reserved for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economic operators other than commercial firms.</w:t>
      </w:r>
    </w:p>
    <w:p w14:paraId="409F3682" w14:textId="41D19876" w:rsidR="0012352C" w:rsidRPr="003E6895" w:rsidRDefault="003E6895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3E6895">
        <w:rPr>
          <w:rFonts w:ascii="Times" w:eastAsia="Times New Roman" w:hAnsi="Times" w:cs="Times New Roman"/>
          <w:sz w:val="20"/>
          <w:szCs w:val="20"/>
          <w:lang w:val="en-GB" w:eastAsia="it-IT"/>
        </w:rPr>
        <w:t>At the end of the course, students will be able to</w:t>
      </w:r>
      <w:r w:rsidR="0012352C" w:rsidRPr="003E6895">
        <w:rPr>
          <w:rFonts w:ascii="Times" w:eastAsia="Times New Roman" w:hAnsi="Times" w:cs="Times New Roman"/>
          <w:sz w:val="20"/>
          <w:szCs w:val="20"/>
          <w:lang w:val="en-GB" w:eastAsia="it-IT"/>
        </w:rPr>
        <w:t>:</w:t>
      </w:r>
    </w:p>
    <w:p w14:paraId="36FAE2CF" w14:textId="1CB2A6B7" w:rsidR="0012352C" w:rsidRPr="00DC2A14" w:rsidRDefault="0012352C" w:rsidP="003E6895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1.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identify the functions and the </w:t>
      </w:r>
      <w:r w:rsidR="00556A7D">
        <w:rPr>
          <w:rFonts w:ascii="Times" w:eastAsia="Times New Roman" w:hAnsi="Times" w:cs="Times New Roman"/>
          <w:sz w:val="20"/>
          <w:szCs w:val="20"/>
          <w:lang w:val="en-GB" w:eastAsia="it-IT"/>
        </w:rPr>
        <w:t>objectives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of the procedures analysed during the course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51DBE0E9" w14:textId="186CAD0B" w:rsidR="0012352C" w:rsidRPr="00DC2A14" w:rsidRDefault="0012352C" w:rsidP="003E6895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2.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>a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pply the competences</w:t>
      </w:r>
      <w:r w:rsidR="00DC2A14" w:rsidRP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acquired following 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professional approach aimed to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debate and 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solve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collective low issues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7B502FF2" w14:textId="1C372F54" w:rsidR="0012352C" w:rsidRPr="00DC2A14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3.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make judgments and assessments based on information –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also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when</w:t>
      </w:r>
      <w:r w:rsidR="003E6895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incomplete – and </w:t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integrate their knowledge with relevant legislation, case law, and legal practices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4E4C46EE" w14:textId="085CC28D" w:rsidR="0012352C" w:rsidRPr="00DC2A14" w:rsidRDefault="0012352C" w:rsidP="00C940F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4.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clearly express their point of view in front of specialists and non-specialists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;</w:t>
      </w:r>
    </w:p>
    <w:p w14:paraId="5F4A0794" w14:textId="3A5EE3C1" w:rsidR="0012352C" w:rsidRPr="00DC2A14" w:rsidRDefault="0012352C" w:rsidP="00C940F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>5.</w:t>
      </w:r>
      <w:r w:rsidRPr="00F726DE">
        <w:rPr>
          <w:rFonts w:ascii="Times" w:eastAsia="Times New Roman" w:hAnsi="Times" w:cs="Times New Roman"/>
          <w:sz w:val="20"/>
          <w:szCs w:val="20"/>
          <w:lang w:val="en-GB" w:eastAsia="it-IT"/>
        </w:rPr>
        <w:tab/>
      </w:r>
      <w:r w:rsidR="00C940FF">
        <w:rPr>
          <w:rFonts w:ascii="Times" w:eastAsia="Times New Roman" w:hAnsi="Times" w:cs="Times New Roman"/>
          <w:sz w:val="20"/>
          <w:szCs w:val="20"/>
          <w:lang w:val="en-GB" w:eastAsia="it-IT"/>
        </w:rPr>
        <w:t>outline the critical issues that may arise from business crisis management, and take all the required actions with a high degree of autonomy</w:t>
      </w:r>
      <w:r w:rsidRPr="00DC2A14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3611A0EB" w14:textId="147DB8A5" w:rsidR="0012352C" w:rsidRPr="00F726DE" w:rsidRDefault="00F726DE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CONTENT</w:t>
      </w:r>
    </w:p>
    <w:p w14:paraId="5D571D47" w14:textId="71C8B8C7" w:rsidR="0012352C" w:rsidRPr="00F726DE" w:rsidRDefault="0012352C" w:rsidP="00556A7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1. </w:t>
      </w:r>
      <w:r w:rsidR="00556A7D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>The concept of crisis requiring legal action</w:t>
      </w:r>
      <w:r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. 2. </w:t>
      </w:r>
      <w:r w:rsidR="00DB55E8" w:rsidRPr="00DB55E8">
        <w:rPr>
          <w:rFonts w:ascii="Times" w:eastAsia="Times New Roman" w:hAnsi="Times" w:cs="Times New Roman"/>
          <w:sz w:val="20"/>
          <w:szCs w:val="20"/>
          <w:lang w:eastAsia="it-IT"/>
        </w:rPr>
        <w:t>The negotiated settlement of the business crisis</w:t>
      </w:r>
      <w:r w:rsidR="00DB55E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  <w:r w:rsidR="00580825" w:rsidRPr="00580825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3. </w:t>
      </w:r>
      <w:r w:rsidR="00556A7D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>Out-of-court agreements and recovery plans. 4.</w:t>
      </w:r>
      <w:r w:rsidR="00365B3B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R</w:t>
      </w:r>
      <w:r w:rsidR="00365B3B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estructuring agreements (proposal and effects). 5. 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A</w:t>
      </w:r>
      <w:r w:rsidR="00365B3B" w:rsidRPr="00365B3B">
        <w:rPr>
          <w:rFonts w:ascii="Times" w:eastAsia="Times New Roman" w:hAnsi="Times" w:cs="Times New Roman"/>
          <w:sz w:val="20"/>
          <w:szCs w:val="20"/>
          <w:lang w:val="en-GB" w:eastAsia="it-IT"/>
        </w:rPr>
        <w:t>ccess to collective procedures (application; judicial office; effects). 6. The company voluntary arrangement (proposal; administration; effects; creditors’ vote; homologation; execution; resolution and invalidation). 7.</w:t>
      </w:r>
      <w:r w:rsid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Judicial liquidation (the role played by the curator; effects;</w:t>
      </w:r>
      <w:r w:rsidR="00365B3B" w:rsidRPr="00DC2A14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net worth </w:t>
      </w:r>
      <w:r w:rsidR="00365B3B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and its reconstruction; </w:t>
      </w:r>
      <w:r w:rsidR="0090477D">
        <w:rPr>
          <w:rFonts w:ascii="Times" w:eastAsia="Times New Roman" w:hAnsi="Times" w:cs="Times New Roman"/>
          <w:sz w:val="20"/>
          <w:szCs w:val="20"/>
          <w:lang w:val="en-GB" w:eastAsia="it-IT"/>
        </w:rPr>
        <w:t>liabilities; liquidation; closure of the procedure). 8. Settlement procedures for over-indebtedness cris</w:t>
      </w:r>
      <w:r w:rsidR="00DC2A14">
        <w:rPr>
          <w:rFonts w:ascii="Times" w:eastAsia="Times New Roman" w:hAnsi="Times" w:cs="Times New Roman"/>
          <w:sz w:val="20"/>
          <w:szCs w:val="20"/>
          <w:lang w:val="en-GB" w:eastAsia="it-IT"/>
        </w:rPr>
        <w:t>e</w:t>
      </w:r>
      <w:r w:rsidR="0090477D">
        <w:rPr>
          <w:rFonts w:ascii="Times" w:eastAsia="Times New Roman" w:hAnsi="Times" w:cs="Times New Roman"/>
          <w:sz w:val="20"/>
          <w:szCs w:val="20"/>
          <w:lang w:val="en-GB" w:eastAsia="it-IT"/>
        </w:rPr>
        <w:t>s (an introduction)</w:t>
      </w:r>
      <w:r w:rsidRPr="00F726DE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.</w:t>
      </w:r>
    </w:p>
    <w:p w14:paraId="720B18B0" w14:textId="3553CC58" w:rsidR="0012352C" w:rsidRPr="00F726DE" w:rsidRDefault="00F726DE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READING LIST</w:t>
      </w:r>
    </w:p>
    <w:p w14:paraId="2EBF075B" w14:textId="27E3C98B" w:rsidR="0012352C" w:rsidRPr="00F726DE" w:rsidRDefault="0090477D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Cs/>
          <w:noProof/>
          <w:sz w:val="18"/>
          <w:szCs w:val="20"/>
          <w:lang w:val="en-GB" w:eastAsia="it-IT"/>
        </w:rPr>
        <w:t>Relevant legislation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: </w:t>
      </w:r>
    </w:p>
    <w:p w14:paraId="718A0BCB" w14:textId="3C659118" w:rsidR="0012352C" w:rsidRPr="00F726DE" w:rsidRDefault="0090477D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The Crisis and Insolvency Code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 (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legislative decree of 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12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January 2019, n. 14), and all the additional laws indicated in class or listed in the textbooks below</w:t>
      </w:r>
      <w:r w:rsidR="0012352C" w:rsidRPr="00F726DE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.</w:t>
      </w:r>
    </w:p>
    <w:p w14:paraId="57F34D80" w14:textId="720F0399" w:rsidR="0012352C" w:rsidRPr="00DC2A14" w:rsidRDefault="0090477D" w:rsidP="00922F48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DC2A14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Textbook of reference</w:t>
      </w:r>
      <w:r w:rsidR="0012352C" w:rsidRPr="00DC2A14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3BB9A868" w14:textId="5F28C76F" w:rsidR="00BC05D7" w:rsidRDefault="00BC05D7" w:rsidP="00BC05D7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05D7">
        <w:rPr>
          <w:rFonts w:ascii="Times" w:eastAsia="Times New Roman" w:hAnsi="Times" w:cs="Times New Roman"/>
          <w:smallCaps/>
          <w:noProof/>
          <w:sz w:val="16"/>
          <w:szCs w:val="18"/>
          <w:lang w:eastAsia="it-IT"/>
        </w:rPr>
        <w:lastRenderedPageBreak/>
        <w:t>D’Attore Giacomo</w:t>
      </w:r>
      <w:r w:rsidRPr="005C597F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,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</w:t>
      </w:r>
      <w:r w:rsidRPr="009A1B5C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Manuale di diritto della crisi e dell'insolvenza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,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Giappichelli, Torino, 2022 (</w:t>
      </w:r>
      <w:r w:rsidR="0021533E">
        <w:rPr>
          <w:rFonts w:ascii="Times" w:eastAsia="Times New Roman" w:hAnsi="Times" w:cs="Times New Roman"/>
          <w:noProof/>
          <w:sz w:val="18"/>
          <w:szCs w:val="20"/>
          <w:lang w:eastAsia="it-IT"/>
        </w:rPr>
        <w:t>or later editions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).</w:t>
      </w:r>
    </w:p>
    <w:p w14:paraId="57A46479" w14:textId="6C41EE46" w:rsidR="0012352C" w:rsidRPr="00F726DE" w:rsidRDefault="0090477D" w:rsidP="0090477D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</w:pPr>
      <w:r w:rsidRPr="0090477D"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  <w:t>Further information will be made available</w:t>
      </w:r>
      <w:r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  <w:t xml:space="preserve"> in class, on the lecturer’s webpage, and on Blackboard</w:t>
      </w:r>
      <w:r w:rsidR="0012352C" w:rsidRPr="00F726DE">
        <w:rPr>
          <w:rFonts w:ascii="Times" w:eastAsia="Times New Roman" w:hAnsi="Times" w:cs="Times New Roman"/>
          <w:noProof/>
          <w:spacing w:val="-5"/>
          <w:sz w:val="18"/>
          <w:szCs w:val="20"/>
          <w:lang w:val="en-GB" w:eastAsia="it-IT"/>
        </w:rPr>
        <w:t>.</w:t>
      </w:r>
    </w:p>
    <w:p w14:paraId="58AF647A" w14:textId="3012DEF4" w:rsidR="0012352C" w:rsidRPr="00DC2A14" w:rsidRDefault="00F726DE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</w:pPr>
      <w:r w:rsidRPr="00DC2A14"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  <w:t>TEACHING METHOD</w:t>
      </w:r>
    </w:p>
    <w:p w14:paraId="5BAE7316" w14:textId="38AF4E5A" w:rsidR="0012352C" w:rsidRPr="00DC2A14" w:rsidRDefault="0090477D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val="en-US" w:eastAsia="it-IT"/>
        </w:rPr>
      </w:pPr>
      <w:r w:rsidRPr="00DC2A14">
        <w:rPr>
          <w:rFonts w:ascii="Times" w:eastAsia="Arial Unicode MS" w:hAnsi="Times" w:cs="Times New Roman"/>
          <w:noProof/>
          <w:sz w:val="18"/>
          <w:szCs w:val="20"/>
          <w:lang w:val="en-US" w:eastAsia="it-IT"/>
        </w:rPr>
        <w:t>Frontal lectures</w:t>
      </w:r>
      <w:r w:rsidR="0012352C" w:rsidRPr="00DC2A14">
        <w:rPr>
          <w:rFonts w:ascii="Times" w:eastAsia="Arial Unicode MS" w:hAnsi="Times" w:cs="Times New Roman"/>
          <w:noProof/>
          <w:sz w:val="18"/>
          <w:szCs w:val="20"/>
          <w:lang w:val="en-US" w:eastAsia="it-IT"/>
        </w:rPr>
        <w:t xml:space="preserve">. </w:t>
      </w:r>
    </w:p>
    <w:p w14:paraId="4E81F9DE" w14:textId="2C5AC6A1" w:rsidR="0012352C" w:rsidRPr="00DC2A14" w:rsidRDefault="00F726DE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</w:pPr>
      <w:r w:rsidRPr="00DC2A14">
        <w:rPr>
          <w:rFonts w:ascii="Times" w:eastAsia="Times New Roman" w:hAnsi="Times" w:cs="Times New Roman"/>
          <w:b/>
          <w:i/>
          <w:noProof/>
          <w:sz w:val="18"/>
          <w:szCs w:val="20"/>
          <w:lang w:val="en-US" w:eastAsia="it-IT"/>
        </w:rPr>
        <w:t>ASSESSMENT METHOD AND CRITERIA</w:t>
      </w:r>
    </w:p>
    <w:p w14:paraId="6B5BA28C" w14:textId="3D15FF6A" w:rsidR="0012352C" w:rsidRPr="00F726DE" w:rsidRDefault="0090477D" w:rsidP="007D2938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</w:pPr>
      <w:r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>Oral exam,</w:t>
      </w:r>
      <w:r w:rsidRPr="0090477D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 xml:space="preserve"> aimed to assess the achievement of the learning outcomes mentioned above</w:t>
      </w:r>
      <w:r w:rsidR="007D2938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 xml:space="preserve">, and consisting in three questions on the different parts of the course syllabus. Assessment criteria: knowledge of the topics explained during the course (up to 18 points); ability to use argumentation and critical thinking skills, and find connections between the different topics presented in class (up to 7 points); use of appropriate terminology (up to 5 points). There will be </w:t>
      </w:r>
      <w:r w:rsidR="00DC2A14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>no</w:t>
      </w:r>
      <w:r w:rsidR="007D2938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 xml:space="preserve"> interim test</w:t>
      </w:r>
      <w:r w:rsidR="0012352C" w:rsidRPr="00F726DE">
        <w:rPr>
          <w:rFonts w:ascii="Times" w:eastAsia="Arial Unicode MS" w:hAnsi="Times" w:cs="Times New Roman"/>
          <w:noProof/>
          <w:sz w:val="18"/>
          <w:szCs w:val="20"/>
          <w:lang w:val="en-GB" w:eastAsia="it-IT"/>
        </w:rPr>
        <w:t>.</w:t>
      </w:r>
    </w:p>
    <w:p w14:paraId="3577BA17" w14:textId="621CD0D4" w:rsidR="0012352C" w:rsidRPr="00F726DE" w:rsidRDefault="00F726DE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  <w:t>NOTES AND PREREQUISITES</w:t>
      </w:r>
    </w:p>
    <w:p w14:paraId="4D2AC71E" w14:textId="04283C30" w:rsidR="00544A84" w:rsidRPr="007D2938" w:rsidRDefault="007D2938" w:rsidP="00512C7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</w:pPr>
      <w:r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Class attendance is strongly recommended</w:t>
      </w:r>
      <w:r w:rsidR="0012352C"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. </w:t>
      </w:r>
      <w:r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 xml:space="preserve">In addition, students are invited to attend this course only after having passed the Commercial Law </w:t>
      </w:r>
      <w:r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exam</w:t>
      </w:r>
      <w:r w:rsidR="0012352C" w:rsidRPr="007D2938">
        <w:rPr>
          <w:rFonts w:ascii="Times" w:eastAsia="Times New Roman" w:hAnsi="Times" w:cs="Times New Roman"/>
          <w:noProof/>
          <w:sz w:val="18"/>
          <w:szCs w:val="20"/>
          <w:lang w:val="en-GB" w:eastAsia="it-IT"/>
        </w:rPr>
        <w:t>.</w:t>
      </w:r>
    </w:p>
    <w:p w14:paraId="7C951FD4" w14:textId="7B128170" w:rsidR="008C547C" w:rsidRPr="00F726DE" w:rsidRDefault="00584CC2" w:rsidP="00584CC2">
      <w:pPr>
        <w:pStyle w:val="Testo2"/>
        <w:rPr>
          <w:noProof w:val="0"/>
          <w:lang w:val="en-GB"/>
        </w:rPr>
      </w:pPr>
      <w:r w:rsidRPr="00F726DE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8C547C" w:rsidRPr="00F726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18AF" w14:textId="77777777" w:rsidR="00C81E98" w:rsidRDefault="00C81E98" w:rsidP="0012352C">
      <w:pPr>
        <w:spacing w:after="0" w:line="240" w:lineRule="auto"/>
      </w:pPr>
      <w:r>
        <w:separator/>
      </w:r>
    </w:p>
  </w:endnote>
  <w:endnote w:type="continuationSeparator" w:id="0">
    <w:p w14:paraId="6A0013E1" w14:textId="77777777" w:rsidR="00C81E98" w:rsidRDefault="00C81E98" w:rsidP="001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06E7" w14:textId="77777777" w:rsidR="00C81E98" w:rsidRDefault="00C81E98" w:rsidP="0012352C">
      <w:pPr>
        <w:spacing w:after="0" w:line="240" w:lineRule="auto"/>
      </w:pPr>
      <w:r>
        <w:separator/>
      </w:r>
    </w:p>
  </w:footnote>
  <w:footnote w:type="continuationSeparator" w:id="0">
    <w:p w14:paraId="6D1FCACD" w14:textId="77777777" w:rsidR="00C81E98" w:rsidRDefault="00C81E98" w:rsidP="0012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C5"/>
    <w:multiLevelType w:val="hybridMultilevel"/>
    <w:tmpl w:val="8E8ABD2A"/>
    <w:lvl w:ilvl="0" w:tplc="70C49E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2C"/>
    <w:rsid w:val="000F66C1"/>
    <w:rsid w:val="0012352C"/>
    <w:rsid w:val="0021533E"/>
    <w:rsid w:val="00300F11"/>
    <w:rsid w:val="00351849"/>
    <w:rsid w:val="00365B3B"/>
    <w:rsid w:val="003707F6"/>
    <w:rsid w:val="003E6895"/>
    <w:rsid w:val="004C5DC0"/>
    <w:rsid w:val="004E4239"/>
    <w:rsid w:val="00512C7C"/>
    <w:rsid w:val="00544A84"/>
    <w:rsid w:val="00556A7D"/>
    <w:rsid w:val="00563E46"/>
    <w:rsid w:val="00580825"/>
    <w:rsid w:val="00584CC2"/>
    <w:rsid w:val="00667B7F"/>
    <w:rsid w:val="00722A44"/>
    <w:rsid w:val="007A069D"/>
    <w:rsid w:val="007D2938"/>
    <w:rsid w:val="00841893"/>
    <w:rsid w:val="008C547C"/>
    <w:rsid w:val="0090477D"/>
    <w:rsid w:val="00922F48"/>
    <w:rsid w:val="00951CCC"/>
    <w:rsid w:val="009C5921"/>
    <w:rsid w:val="009D3904"/>
    <w:rsid w:val="00AF1DDF"/>
    <w:rsid w:val="00B17CD5"/>
    <w:rsid w:val="00BC05D7"/>
    <w:rsid w:val="00C10CC1"/>
    <w:rsid w:val="00C81E98"/>
    <w:rsid w:val="00C940FF"/>
    <w:rsid w:val="00CA2C57"/>
    <w:rsid w:val="00CF0F44"/>
    <w:rsid w:val="00DB55E8"/>
    <w:rsid w:val="00DC2A14"/>
    <w:rsid w:val="00E90B3A"/>
    <w:rsid w:val="00F726DE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250"/>
  <w15:chartTrackingRefBased/>
  <w15:docId w15:val="{5F3ACDB1-5ACB-44E5-A3EB-77E1340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Valzer</dc:creator>
  <cp:keywords/>
  <dc:description/>
  <cp:lastModifiedBy>Bisello Stefano</cp:lastModifiedBy>
  <cp:revision>4</cp:revision>
  <dcterms:created xsi:type="dcterms:W3CDTF">2023-06-26T09:07:00Z</dcterms:created>
  <dcterms:modified xsi:type="dcterms:W3CDTF">2024-01-09T15:06:00Z</dcterms:modified>
</cp:coreProperties>
</file>