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8C6" w14:textId="77777777" w:rsidR="009D7E11" w:rsidRPr="00395FB9" w:rsidRDefault="00281710" w:rsidP="00395FB9">
      <w:pPr>
        <w:pStyle w:val="Titolo1"/>
      </w:pPr>
      <w:r w:rsidRPr="00281710">
        <w:t>Sustainable Finance</w:t>
      </w:r>
      <w:r w:rsidRPr="00395FB9">
        <w:t xml:space="preserve"> </w:t>
      </w:r>
    </w:p>
    <w:p w14:paraId="74E4AA3D" w14:textId="77777777" w:rsidR="009D7E11" w:rsidRDefault="009D7E11" w:rsidP="009251FA">
      <w:pPr>
        <w:pStyle w:val="Titolo2"/>
      </w:pPr>
      <w:r w:rsidRPr="009251FA">
        <w:t>Prof. Alfonso Del Giudice</w:t>
      </w:r>
      <w:r w:rsidR="00350494">
        <w:t>; Prof. Andrea Signori</w:t>
      </w:r>
    </w:p>
    <w:p w14:paraId="0363DF2C" w14:textId="77777777" w:rsidR="002D5E17" w:rsidRPr="00EF5C26" w:rsidRDefault="00EF5C26" w:rsidP="009251FA">
      <w:pPr>
        <w:spacing w:before="240" w:after="120" w:line="240" w:lineRule="exact"/>
        <w:rPr>
          <w:b/>
          <w:sz w:val="18"/>
          <w:lang w:val="en-GB"/>
        </w:rPr>
      </w:pPr>
      <w:r w:rsidRPr="00EF5C26">
        <w:rPr>
          <w:b/>
          <w:i/>
          <w:sz w:val="18"/>
          <w:lang w:val="en-GB"/>
        </w:rPr>
        <w:t>COURSE AIMS AND INTENDED LEARNING OUTCOMES</w:t>
      </w:r>
    </w:p>
    <w:p w14:paraId="29755BF3" w14:textId="77777777" w:rsidR="009251FA" w:rsidRPr="00EF5C26" w:rsidRDefault="00EF5C26" w:rsidP="009251FA">
      <w:pPr>
        <w:spacing w:line="240" w:lineRule="exact"/>
        <w:rPr>
          <w:lang w:val="en-GB"/>
        </w:rPr>
      </w:pPr>
      <w:r w:rsidRPr="00EF5C26">
        <w:rPr>
          <w:lang w:val="en-GB"/>
        </w:rPr>
        <w:t>The course aims to</w:t>
      </w:r>
      <w:r>
        <w:rPr>
          <w:lang w:val="en-GB"/>
        </w:rPr>
        <w:t xml:space="preserve"> explore the possibility to include non-financial elements in traditional investment models, in order to help students develop the skills they need to become professional experts directly or indirectly – as consultants – involved in business financial management and in the operations carried out by financial intermediaries. At the end of the course, students will be able to: </w:t>
      </w:r>
    </w:p>
    <w:p w14:paraId="16553F43" w14:textId="77777777" w:rsidR="009251FA" w:rsidRPr="009E4F78" w:rsidRDefault="004D1CE3" w:rsidP="004D1CE3">
      <w:pPr>
        <w:spacing w:line="240" w:lineRule="exact"/>
        <w:ind w:left="284" w:hanging="284"/>
        <w:rPr>
          <w:lang w:val="en-GB"/>
        </w:rPr>
      </w:pPr>
      <w:r w:rsidRPr="009E4F78">
        <w:rPr>
          <w:lang w:val="en-GB"/>
        </w:rPr>
        <w:t>1.</w:t>
      </w:r>
      <w:r w:rsidRPr="009E4F78">
        <w:rPr>
          <w:lang w:val="en-GB"/>
        </w:rPr>
        <w:tab/>
      </w:r>
      <w:r w:rsidR="00EF5C26" w:rsidRPr="009E4F78">
        <w:rPr>
          <w:lang w:val="en-GB"/>
        </w:rPr>
        <w:t xml:space="preserve">Develop their knowledge of the key concepts of </w:t>
      </w:r>
      <w:r w:rsidR="009E4F78" w:rsidRPr="009E4F78">
        <w:rPr>
          <w:lang w:val="en-GB"/>
        </w:rPr>
        <w:t xml:space="preserve">the subject, </w:t>
      </w:r>
      <w:r w:rsidR="009E4F78">
        <w:rPr>
          <w:lang w:val="en-GB"/>
        </w:rPr>
        <w:t>and</w:t>
      </w:r>
      <w:r w:rsidR="009E4F78" w:rsidRPr="009E4F78">
        <w:rPr>
          <w:lang w:val="en-GB"/>
        </w:rPr>
        <w:t xml:space="preserve"> use them to interpret financial sustainability </w:t>
      </w:r>
      <w:r w:rsidR="00CB4606">
        <w:rPr>
          <w:lang w:val="en-GB"/>
        </w:rPr>
        <w:t>analysis</w:t>
      </w:r>
      <w:r w:rsidR="009251FA" w:rsidRPr="009E4F78">
        <w:rPr>
          <w:lang w:val="en-GB"/>
        </w:rPr>
        <w:t>.</w:t>
      </w:r>
    </w:p>
    <w:p w14:paraId="5F68B9D7" w14:textId="77777777" w:rsidR="009251FA" w:rsidRPr="009E4F78" w:rsidRDefault="004D1CE3" w:rsidP="009E4F78">
      <w:pPr>
        <w:spacing w:line="240" w:lineRule="exact"/>
        <w:ind w:left="284" w:hanging="284"/>
        <w:rPr>
          <w:lang w:val="en-GB"/>
        </w:rPr>
      </w:pPr>
      <w:r w:rsidRPr="009E4F78">
        <w:rPr>
          <w:lang w:val="en-GB"/>
        </w:rPr>
        <w:t>2.</w:t>
      </w:r>
      <w:r w:rsidRPr="009E4F78">
        <w:rPr>
          <w:lang w:val="en-GB"/>
        </w:rPr>
        <w:tab/>
      </w:r>
      <w:r w:rsidR="009E4F78" w:rsidRPr="009E4F78">
        <w:rPr>
          <w:lang w:val="en-GB"/>
        </w:rPr>
        <w:t>Use their newly acquired knowledge to make the assessment of sustainable investments with</w:t>
      </w:r>
      <w:r w:rsidR="00CB4606">
        <w:rPr>
          <w:lang w:val="en-GB"/>
        </w:rPr>
        <w:t xml:space="preserve">in </w:t>
      </w:r>
      <w:r w:rsidR="009E4F78" w:rsidRPr="009E4F78">
        <w:rPr>
          <w:lang w:val="en-GB"/>
        </w:rPr>
        <w:t>simplified environment</w:t>
      </w:r>
      <w:r w:rsidR="00CB4606">
        <w:rPr>
          <w:lang w:val="en-GB"/>
        </w:rPr>
        <w:t>s</w:t>
      </w:r>
      <w:r w:rsidR="009251FA" w:rsidRPr="009E4F78">
        <w:rPr>
          <w:lang w:val="en-GB"/>
        </w:rPr>
        <w:t>.</w:t>
      </w:r>
    </w:p>
    <w:p w14:paraId="4FAE5867" w14:textId="77777777" w:rsidR="009E4F78" w:rsidRPr="009E4F78" w:rsidRDefault="004D1CE3" w:rsidP="004D1CE3">
      <w:pPr>
        <w:spacing w:line="240" w:lineRule="exact"/>
        <w:ind w:left="284" w:hanging="284"/>
        <w:rPr>
          <w:lang w:val="en-GB"/>
        </w:rPr>
      </w:pPr>
      <w:r w:rsidRPr="009E4F78">
        <w:rPr>
          <w:lang w:val="en-GB"/>
        </w:rPr>
        <w:t>3.</w:t>
      </w:r>
      <w:r w:rsidRPr="009E4F78">
        <w:rPr>
          <w:lang w:val="en-GB"/>
        </w:rPr>
        <w:tab/>
      </w:r>
      <w:r w:rsidR="009E4F78" w:rsidRPr="009E4F78">
        <w:rPr>
          <w:lang w:val="en-GB"/>
        </w:rPr>
        <w:t xml:space="preserve">Collect and interpret the data at the basis of responsible investment decisions, and form independent judgments. </w:t>
      </w:r>
    </w:p>
    <w:p w14:paraId="6E824573" w14:textId="77777777" w:rsidR="009251FA" w:rsidRPr="009E4F78" w:rsidRDefault="004D1CE3" w:rsidP="004D1CE3">
      <w:pPr>
        <w:spacing w:line="240" w:lineRule="exact"/>
        <w:ind w:left="284" w:hanging="284"/>
        <w:rPr>
          <w:lang w:val="en-GB"/>
        </w:rPr>
      </w:pPr>
      <w:r w:rsidRPr="009E4F78">
        <w:rPr>
          <w:lang w:val="en-GB"/>
        </w:rPr>
        <w:t>4.</w:t>
      </w:r>
      <w:r w:rsidRPr="009E4F78">
        <w:rPr>
          <w:lang w:val="en-GB"/>
        </w:rPr>
        <w:tab/>
      </w:r>
      <w:r w:rsidR="009E4F78" w:rsidRPr="009E4F78">
        <w:rPr>
          <w:lang w:val="en-GB"/>
        </w:rPr>
        <w:t>Communicate their knowledge using an appropriate terminology</w:t>
      </w:r>
      <w:r w:rsidR="009251FA" w:rsidRPr="009E4F78">
        <w:rPr>
          <w:lang w:val="en-GB"/>
        </w:rPr>
        <w:t>.</w:t>
      </w:r>
    </w:p>
    <w:p w14:paraId="16AF4B69" w14:textId="77777777" w:rsidR="009251FA" w:rsidRPr="00CB4606" w:rsidRDefault="004D1CE3" w:rsidP="004D1CE3">
      <w:pPr>
        <w:spacing w:line="240" w:lineRule="exact"/>
        <w:ind w:left="284" w:hanging="284"/>
        <w:rPr>
          <w:lang w:val="en-GB"/>
        </w:rPr>
      </w:pPr>
      <w:r w:rsidRPr="00CB4606">
        <w:rPr>
          <w:lang w:val="en-GB"/>
        </w:rPr>
        <w:t>5.</w:t>
      </w:r>
      <w:r w:rsidRPr="00CB4606">
        <w:rPr>
          <w:lang w:val="en-GB"/>
        </w:rPr>
        <w:tab/>
      </w:r>
      <w:r w:rsidR="009E4F78" w:rsidRPr="00CB4606">
        <w:rPr>
          <w:lang w:val="en-GB"/>
        </w:rPr>
        <w:t xml:space="preserve">Develop the skills they need to pursue further studies </w:t>
      </w:r>
      <w:r w:rsidR="00CB4606">
        <w:rPr>
          <w:lang w:val="en-GB"/>
        </w:rPr>
        <w:t xml:space="preserve">in this field, </w:t>
      </w:r>
      <w:r w:rsidR="00422D0F">
        <w:rPr>
          <w:lang w:val="en-GB"/>
        </w:rPr>
        <w:t>and use</w:t>
      </w:r>
      <w:r w:rsidR="00CB4606">
        <w:rPr>
          <w:lang w:val="en-GB"/>
        </w:rPr>
        <w:t xml:space="preserve"> them </w:t>
      </w:r>
      <w:r w:rsidR="00422D0F">
        <w:rPr>
          <w:lang w:val="en-GB"/>
        </w:rPr>
        <w:t>in the</w:t>
      </w:r>
      <w:r w:rsidR="00CB4606">
        <w:rPr>
          <w:lang w:val="en-GB"/>
        </w:rPr>
        <w:t xml:space="preserve"> other courses </w:t>
      </w:r>
      <w:r w:rsidR="00422D0F">
        <w:rPr>
          <w:lang w:val="en-GB"/>
        </w:rPr>
        <w:t>of their degree curriculum</w:t>
      </w:r>
      <w:r w:rsidR="00CB4606">
        <w:rPr>
          <w:lang w:val="en-GB"/>
        </w:rPr>
        <w:t xml:space="preserve"> </w:t>
      </w:r>
      <w:r w:rsidR="00CB4606" w:rsidRPr="00CB4606">
        <w:rPr>
          <w:lang w:val="en-GB"/>
        </w:rPr>
        <w:t xml:space="preserve">and </w:t>
      </w:r>
      <w:r w:rsidR="00422D0F">
        <w:rPr>
          <w:lang w:val="en-GB"/>
        </w:rPr>
        <w:t>on their future work place</w:t>
      </w:r>
      <w:r w:rsidR="009251FA" w:rsidRPr="00CB4606">
        <w:rPr>
          <w:lang w:val="en-GB"/>
        </w:rPr>
        <w:t>.</w:t>
      </w:r>
      <w:r w:rsidR="00CB4606" w:rsidRPr="00CB4606">
        <w:rPr>
          <w:lang w:val="en-GB"/>
        </w:rPr>
        <w:t xml:space="preserve"> </w:t>
      </w:r>
    </w:p>
    <w:p w14:paraId="5DECADB8" w14:textId="77777777" w:rsidR="009251FA" w:rsidRPr="00F86E6B" w:rsidRDefault="00EF5C26" w:rsidP="009251FA">
      <w:pPr>
        <w:spacing w:before="240" w:after="120" w:line="240" w:lineRule="exact"/>
        <w:rPr>
          <w:b/>
          <w:sz w:val="18"/>
          <w:lang w:val="en-US"/>
        </w:rPr>
      </w:pPr>
      <w:r w:rsidRPr="00F86E6B">
        <w:rPr>
          <w:b/>
          <w:i/>
          <w:sz w:val="18"/>
          <w:lang w:val="en-US"/>
        </w:rPr>
        <w:t>COURSE CONTENT</w:t>
      </w:r>
    </w:p>
    <w:p w14:paraId="5BD15CFC" w14:textId="77777777" w:rsidR="009251FA" w:rsidRPr="00422D0F" w:rsidRDefault="00422D0F" w:rsidP="009251FA">
      <w:pPr>
        <w:spacing w:line="240" w:lineRule="exact"/>
        <w:rPr>
          <w:lang w:val="en-GB"/>
        </w:rPr>
      </w:pPr>
      <w:r w:rsidRPr="00422D0F">
        <w:rPr>
          <w:lang w:val="en-GB"/>
        </w:rPr>
        <w:t>The course will focus on the following topics</w:t>
      </w:r>
      <w:r w:rsidR="009251FA" w:rsidRPr="00422D0F">
        <w:rPr>
          <w:lang w:val="en-GB"/>
        </w:rPr>
        <w:t>.</w:t>
      </w:r>
    </w:p>
    <w:p w14:paraId="09E91408" w14:textId="34BD2933" w:rsidR="009251FA" w:rsidRPr="00E21DCA" w:rsidRDefault="00422D0F" w:rsidP="00E21DCA">
      <w:pPr>
        <w:pStyle w:val="Paragrafoelenco"/>
        <w:numPr>
          <w:ilvl w:val="0"/>
          <w:numId w:val="3"/>
        </w:numPr>
        <w:spacing w:before="120" w:line="240" w:lineRule="exact"/>
        <w:ind w:left="426"/>
        <w:rPr>
          <w:lang w:val="en-GB"/>
        </w:rPr>
      </w:pPr>
      <w:r w:rsidRPr="00E21DCA">
        <w:rPr>
          <w:i/>
          <w:lang w:val="en-GB"/>
        </w:rPr>
        <w:t>A definition of sustainable finance, strategies, and market</w:t>
      </w:r>
      <w:r w:rsidR="009251FA" w:rsidRPr="00E21DCA">
        <w:rPr>
          <w:lang w:val="en-GB"/>
        </w:rPr>
        <w:t xml:space="preserve">. </w:t>
      </w:r>
      <w:r w:rsidRPr="00E21DCA">
        <w:rPr>
          <w:lang w:val="en-GB"/>
        </w:rPr>
        <w:t>The definition of sustainable finance, the historical background, and the evolution of the main strategies</w:t>
      </w:r>
      <w:r w:rsidR="009251FA" w:rsidRPr="00E21DCA">
        <w:rPr>
          <w:lang w:val="en-GB"/>
        </w:rPr>
        <w:t xml:space="preserve">. </w:t>
      </w:r>
      <w:r w:rsidRPr="00E21DCA">
        <w:rPr>
          <w:lang w:val="en-GB"/>
        </w:rPr>
        <w:t>Responsible investments</w:t>
      </w:r>
      <w:r w:rsidR="009251FA" w:rsidRPr="00E21DCA">
        <w:rPr>
          <w:lang w:val="en-GB"/>
        </w:rPr>
        <w:t>.</w:t>
      </w:r>
      <w:r w:rsidR="00D66A61" w:rsidRPr="00E21DCA">
        <w:rPr>
          <w:lang w:val="en-GB"/>
        </w:rPr>
        <w:t xml:space="preserve"> </w:t>
      </w:r>
      <w:r w:rsidRPr="00E21DCA">
        <w:rPr>
          <w:lang w:val="en-GB"/>
        </w:rPr>
        <w:t>Thematic and impact investing</w:t>
      </w:r>
      <w:r w:rsidR="00D66A61" w:rsidRPr="00E21DCA">
        <w:rPr>
          <w:lang w:val="en-GB"/>
        </w:rPr>
        <w:t xml:space="preserve">. </w:t>
      </w:r>
      <w:r w:rsidRPr="00E21DCA">
        <w:rPr>
          <w:lang w:val="en-GB"/>
        </w:rPr>
        <w:t>Institutional investors and social activism</w:t>
      </w:r>
      <w:r w:rsidR="00D66A61" w:rsidRPr="00E21DCA">
        <w:rPr>
          <w:lang w:val="en-GB"/>
        </w:rPr>
        <w:t>.</w:t>
      </w:r>
    </w:p>
    <w:p w14:paraId="4DB21A46" w14:textId="778F2874" w:rsidR="00422D0F" w:rsidRPr="00D470E1" w:rsidRDefault="00422D0F" w:rsidP="00E21DCA">
      <w:pPr>
        <w:pStyle w:val="Paragrafoelenco"/>
        <w:numPr>
          <w:ilvl w:val="0"/>
          <w:numId w:val="3"/>
        </w:numPr>
        <w:spacing w:before="120" w:line="240" w:lineRule="exact"/>
        <w:ind w:left="426"/>
        <w:rPr>
          <w:lang w:val="en-GB"/>
        </w:rPr>
      </w:pPr>
      <w:r w:rsidRPr="00E21DCA">
        <w:rPr>
          <w:i/>
          <w:lang w:val="en-GB"/>
        </w:rPr>
        <w:t>Responsible investments</w:t>
      </w:r>
      <w:r w:rsidR="009251FA" w:rsidRPr="00E21DCA">
        <w:rPr>
          <w:lang w:val="en-GB"/>
        </w:rPr>
        <w:t>.</w:t>
      </w:r>
      <w:r w:rsidR="00D66A61" w:rsidRPr="00E21DCA">
        <w:rPr>
          <w:lang w:val="en-GB"/>
        </w:rPr>
        <w:t xml:space="preserve"> </w:t>
      </w:r>
      <w:r w:rsidRPr="00E21DCA">
        <w:rPr>
          <w:lang w:val="en-GB"/>
        </w:rPr>
        <w:t>Non-financial ratings</w:t>
      </w:r>
      <w:r w:rsidR="00D66A61" w:rsidRPr="00E21DCA">
        <w:rPr>
          <w:lang w:val="en-GB"/>
        </w:rPr>
        <w:t xml:space="preserve"> (ESG)</w:t>
      </w:r>
      <w:r w:rsidRPr="00E21DCA">
        <w:rPr>
          <w:lang w:val="en-GB"/>
        </w:rPr>
        <w:t xml:space="preserve"> and the main methodologies used by analysts</w:t>
      </w:r>
      <w:r w:rsidR="009251FA" w:rsidRPr="00E21DCA">
        <w:rPr>
          <w:lang w:val="en-GB"/>
        </w:rPr>
        <w:t>.</w:t>
      </w:r>
      <w:r w:rsidR="008E5A1C" w:rsidRPr="00E21DCA">
        <w:rPr>
          <w:lang w:val="en-GB"/>
        </w:rPr>
        <w:t xml:space="preserve"> </w:t>
      </w:r>
      <w:r w:rsidRPr="00E21DCA">
        <w:rPr>
          <w:lang w:val="en-GB"/>
        </w:rPr>
        <w:t>The limits of non-financial analysis and the evolution of non-financial rating market</w:t>
      </w:r>
      <w:r w:rsidR="006234AE" w:rsidRPr="00E21DCA">
        <w:rPr>
          <w:lang w:val="en-GB"/>
        </w:rPr>
        <w:t>s</w:t>
      </w:r>
      <w:r w:rsidRPr="00E21DCA">
        <w:rPr>
          <w:lang w:val="en-GB"/>
        </w:rPr>
        <w:t xml:space="preserve"> and companies</w:t>
      </w:r>
      <w:r w:rsidR="006234AE" w:rsidRPr="00E21DCA">
        <w:rPr>
          <w:lang w:val="en-GB"/>
        </w:rPr>
        <w:t xml:space="preserve">. ESG rating and the </w:t>
      </w:r>
      <w:r w:rsidR="006234AE" w:rsidRPr="00E21DCA">
        <w:rPr>
          <w:i/>
          <w:lang w:val="en-GB"/>
        </w:rPr>
        <w:t>pricing</w:t>
      </w:r>
      <w:r w:rsidR="006234AE" w:rsidRPr="00E21DCA">
        <w:rPr>
          <w:lang w:val="en-GB"/>
        </w:rPr>
        <w:t xml:space="preserve"> of listed securities: the extension of factor analysis models to non-financial analysis. Sustainability and company value: flows and rates within </w:t>
      </w:r>
      <w:r w:rsidR="006234AE" w:rsidRPr="00D470E1">
        <w:rPr>
          <w:lang w:val="en-GB"/>
        </w:rPr>
        <w:t xml:space="preserve">sustainable companies. ESG investment funds: rating, risk, and performance. Sustainable </w:t>
      </w:r>
      <w:r w:rsidR="006234AE" w:rsidRPr="00D470E1">
        <w:rPr>
          <w:i/>
          <w:lang w:val="en-GB"/>
        </w:rPr>
        <w:t>asset location</w:t>
      </w:r>
      <w:r w:rsidR="006234AE" w:rsidRPr="00D470E1">
        <w:rPr>
          <w:lang w:val="en-GB"/>
        </w:rPr>
        <w:t>.</w:t>
      </w:r>
    </w:p>
    <w:p w14:paraId="398EBCB9" w14:textId="5767FA18" w:rsidR="00D470E1" w:rsidRPr="00D470E1" w:rsidRDefault="00D470E1" w:rsidP="00E21DCA">
      <w:pPr>
        <w:pStyle w:val="Paragrafoelenco"/>
        <w:numPr>
          <w:ilvl w:val="0"/>
          <w:numId w:val="3"/>
        </w:numPr>
        <w:spacing w:before="120" w:line="240" w:lineRule="exact"/>
        <w:ind w:left="426"/>
      </w:pPr>
      <w:r w:rsidRPr="00D470E1">
        <w:rPr>
          <w:i/>
          <w:iCs/>
        </w:rPr>
        <w:t xml:space="preserve">Sustainability and asset pricing. </w:t>
      </w:r>
      <w:r w:rsidRPr="00D470E1">
        <w:t>The involvement of sustainability on the main</w:t>
      </w:r>
      <w:r w:rsidRPr="00D470E1">
        <w:rPr>
          <w:i/>
          <w:iCs/>
        </w:rPr>
        <w:t xml:space="preserve"> </w:t>
      </w:r>
      <w:r w:rsidRPr="00D470E1">
        <w:t>models of asset pricing</w:t>
      </w:r>
      <w:r w:rsidRPr="00D470E1">
        <w:rPr>
          <w:i/>
          <w:iCs/>
        </w:rPr>
        <w:t xml:space="preserve">. </w:t>
      </w:r>
      <w:r w:rsidRPr="00D470E1">
        <w:t>Introduction to the</w:t>
      </w:r>
      <w:r w:rsidRPr="00D470E1">
        <w:rPr>
          <w:i/>
          <w:iCs/>
        </w:rPr>
        <w:t xml:space="preserve"> climate finance. </w:t>
      </w:r>
      <w:r w:rsidRPr="00D470E1">
        <w:t>Sustainability and</w:t>
      </w:r>
      <w:r w:rsidRPr="00D470E1">
        <w:rPr>
          <w:i/>
          <w:iCs/>
        </w:rPr>
        <w:t xml:space="preserve"> Capital Asset Pricing Model. </w:t>
      </w:r>
      <w:r w:rsidRPr="00D470E1">
        <w:t>Sustainability and</w:t>
      </w:r>
      <w:r w:rsidRPr="00D470E1">
        <w:rPr>
          <w:i/>
          <w:iCs/>
        </w:rPr>
        <w:t xml:space="preserve"> Arbitrage Pricing Theory. </w:t>
      </w:r>
      <w:r w:rsidRPr="00D470E1">
        <w:t xml:space="preserve">Sustainability and </w:t>
      </w:r>
      <w:r w:rsidRPr="00D470E1">
        <w:rPr>
          <w:i/>
          <w:iCs/>
        </w:rPr>
        <w:t xml:space="preserve">option pricing. </w:t>
      </w:r>
      <w:r w:rsidRPr="00D470E1">
        <w:t>Empirical evidence.</w:t>
      </w:r>
    </w:p>
    <w:p w14:paraId="44A6BF14" w14:textId="33B8D765" w:rsidR="009251FA" w:rsidRPr="00D470E1" w:rsidRDefault="006234AE" w:rsidP="00E21DCA">
      <w:pPr>
        <w:pStyle w:val="Paragrafoelenco"/>
        <w:numPr>
          <w:ilvl w:val="0"/>
          <w:numId w:val="3"/>
        </w:numPr>
        <w:spacing w:before="120" w:line="240" w:lineRule="exact"/>
        <w:ind w:left="426"/>
        <w:rPr>
          <w:lang w:val="en-GB"/>
        </w:rPr>
      </w:pPr>
      <w:r w:rsidRPr="00D470E1">
        <w:rPr>
          <w:i/>
          <w:lang w:val="en-GB"/>
        </w:rPr>
        <w:lastRenderedPageBreak/>
        <w:t>Thematic and impact investing</w:t>
      </w:r>
      <w:r w:rsidR="009251FA" w:rsidRPr="00D470E1">
        <w:rPr>
          <w:lang w:val="en-GB"/>
        </w:rPr>
        <w:t>.</w:t>
      </w:r>
      <w:r w:rsidRPr="00D470E1">
        <w:rPr>
          <w:lang w:val="en-GB"/>
        </w:rPr>
        <w:t xml:space="preserve"> </w:t>
      </w:r>
      <w:r w:rsidRPr="00D470E1">
        <w:rPr>
          <w:i/>
          <w:lang w:val="en-GB"/>
        </w:rPr>
        <w:t>G</w:t>
      </w:r>
      <w:r w:rsidR="00385D39" w:rsidRPr="00D470E1">
        <w:rPr>
          <w:i/>
          <w:lang w:val="en-GB"/>
        </w:rPr>
        <w:t>reen bond</w:t>
      </w:r>
      <w:r w:rsidRPr="00D470E1">
        <w:rPr>
          <w:i/>
          <w:lang w:val="en-GB"/>
        </w:rPr>
        <w:t>s</w:t>
      </w:r>
      <w:r w:rsidR="00385D39" w:rsidRPr="00D470E1">
        <w:rPr>
          <w:lang w:val="en-GB"/>
        </w:rPr>
        <w:t xml:space="preserve">: </w:t>
      </w:r>
      <w:r w:rsidR="003D1940" w:rsidRPr="00D470E1">
        <w:rPr>
          <w:lang w:val="en-GB"/>
        </w:rPr>
        <w:t>issue</w:t>
      </w:r>
      <w:r w:rsidR="00385D39" w:rsidRPr="00D470E1">
        <w:rPr>
          <w:lang w:val="en-GB"/>
        </w:rPr>
        <w:t>, pricing</w:t>
      </w:r>
      <w:r w:rsidR="003D1940" w:rsidRPr="00D470E1">
        <w:rPr>
          <w:lang w:val="en-GB"/>
        </w:rPr>
        <w:t>, and certification process</w:t>
      </w:r>
      <w:r w:rsidR="00385D39" w:rsidRPr="00D470E1">
        <w:rPr>
          <w:lang w:val="en-GB"/>
        </w:rPr>
        <w:t xml:space="preserve">. </w:t>
      </w:r>
      <w:r w:rsidR="003D1940" w:rsidRPr="00D470E1">
        <w:rPr>
          <w:i/>
          <w:lang w:val="en-US"/>
        </w:rPr>
        <w:t>S</w:t>
      </w:r>
      <w:r w:rsidR="00385D39" w:rsidRPr="00D470E1">
        <w:rPr>
          <w:i/>
          <w:lang w:val="en-US"/>
        </w:rPr>
        <w:t>ocial bond</w:t>
      </w:r>
      <w:r w:rsidR="003D1940" w:rsidRPr="00D470E1">
        <w:rPr>
          <w:i/>
          <w:lang w:val="en-US"/>
        </w:rPr>
        <w:t>s</w:t>
      </w:r>
      <w:r w:rsidR="00385D39" w:rsidRPr="00D470E1">
        <w:rPr>
          <w:lang w:val="en-US"/>
        </w:rPr>
        <w:t xml:space="preserve">: </w:t>
      </w:r>
      <w:r w:rsidR="003D1940" w:rsidRPr="00D470E1">
        <w:rPr>
          <w:lang w:val="en-US"/>
        </w:rPr>
        <w:t>definition</w:t>
      </w:r>
      <w:r w:rsidR="00385D39" w:rsidRPr="00D470E1">
        <w:rPr>
          <w:lang w:val="en-US"/>
        </w:rPr>
        <w:t xml:space="preserve">, </w:t>
      </w:r>
      <w:r w:rsidR="003D1940" w:rsidRPr="00D470E1">
        <w:rPr>
          <w:lang w:val="en-US"/>
        </w:rPr>
        <w:t>issue, and certification process</w:t>
      </w:r>
      <w:r w:rsidR="00385D39" w:rsidRPr="00D470E1">
        <w:rPr>
          <w:lang w:val="en-US"/>
        </w:rPr>
        <w:t xml:space="preserve">. </w:t>
      </w:r>
      <w:r w:rsidR="003D1940" w:rsidRPr="00D470E1">
        <w:rPr>
          <w:lang w:val="en-GB"/>
        </w:rPr>
        <w:t>Thematic funds</w:t>
      </w:r>
      <w:r w:rsidR="00216DF2" w:rsidRPr="00D470E1">
        <w:rPr>
          <w:lang w:val="en-GB"/>
        </w:rPr>
        <w:t xml:space="preserve">: </w:t>
      </w:r>
      <w:r w:rsidR="00216DF2" w:rsidRPr="00D470E1">
        <w:rPr>
          <w:i/>
          <w:lang w:val="en-GB"/>
        </w:rPr>
        <w:t xml:space="preserve">green </w:t>
      </w:r>
      <w:r w:rsidR="003D1940" w:rsidRPr="00D470E1">
        <w:rPr>
          <w:lang w:val="en-GB"/>
        </w:rPr>
        <w:t>Impact investing</w:t>
      </w:r>
      <w:r w:rsidR="00221570" w:rsidRPr="00D470E1">
        <w:rPr>
          <w:lang w:val="en-GB"/>
        </w:rPr>
        <w:t xml:space="preserve">: </w:t>
      </w:r>
      <w:r w:rsidR="003D1940" w:rsidRPr="00D470E1">
        <w:rPr>
          <w:lang w:val="en-GB"/>
        </w:rPr>
        <w:t>definition</w:t>
      </w:r>
      <w:r w:rsidR="00221570" w:rsidRPr="00D470E1">
        <w:rPr>
          <w:lang w:val="en-GB"/>
        </w:rPr>
        <w:t xml:space="preserve">, </w:t>
      </w:r>
      <w:r w:rsidR="003D1940" w:rsidRPr="00D470E1">
        <w:rPr>
          <w:lang w:val="en-GB"/>
        </w:rPr>
        <w:t>measurability of its socio-environmental impact, and the link with economic yield</w:t>
      </w:r>
      <w:r w:rsidR="00385D39" w:rsidRPr="00D470E1">
        <w:rPr>
          <w:lang w:val="en-GB"/>
        </w:rPr>
        <w:t xml:space="preserve">. </w:t>
      </w:r>
      <w:r w:rsidR="003D1940" w:rsidRPr="00D470E1">
        <w:rPr>
          <w:i/>
          <w:lang w:val="en-GB"/>
        </w:rPr>
        <w:t>S</w:t>
      </w:r>
      <w:r w:rsidR="00385D39" w:rsidRPr="00D470E1">
        <w:rPr>
          <w:i/>
          <w:lang w:val="en-GB"/>
        </w:rPr>
        <w:t>ocial impact bond</w:t>
      </w:r>
      <w:r w:rsidR="003D1940" w:rsidRPr="00D470E1">
        <w:rPr>
          <w:i/>
          <w:lang w:val="en-GB"/>
        </w:rPr>
        <w:t>s</w:t>
      </w:r>
      <w:r w:rsidR="00385D39" w:rsidRPr="00D470E1">
        <w:rPr>
          <w:lang w:val="en-GB"/>
        </w:rPr>
        <w:t xml:space="preserve">: </w:t>
      </w:r>
      <w:r w:rsidR="003D1940" w:rsidRPr="00D470E1">
        <w:rPr>
          <w:lang w:val="en-GB"/>
        </w:rPr>
        <w:t>economic and financial features and agency costs</w:t>
      </w:r>
      <w:r w:rsidR="00221570" w:rsidRPr="00D470E1">
        <w:rPr>
          <w:lang w:val="en-GB"/>
        </w:rPr>
        <w:t>.</w:t>
      </w:r>
    </w:p>
    <w:p w14:paraId="4BFD3F53" w14:textId="57577D45" w:rsidR="008E5A1C" w:rsidRPr="00D470E1" w:rsidRDefault="003D1940" w:rsidP="00E21DCA">
      <w:pPr>
        <w:pStyle w:val="Paragrafoelenco"/>
        <w:numPr>
          <w:ilvl w:val="0"/>
          <w:numId w:val="3"/>
        </w:numPr>
        <w:spacing w:before="120" w:line="240" w:lineRule="exact"/>
        <w:ind w:left="426"/>
        <w:rPr>
          <w:lang w:val="en-GB"/>
        </w:rPr>
      </w:pPr>
      <w:r w:rsidRPr="00D470E1">
        <w:rPr>
          <w:i/>
          <w:lang w:val="en-GB"/>
        </w:rPr>
        <w:t xml:space="preserve">The </w:t>
      </w:r>
      <w:r w:rsidR="008E5A1C" w:rsidRPr="00D470E1">
        <w:rPr>
          <w:i/>
          <w:lang w:val="en-GB"/>
        </w:rPr>
        <w:t xml:space="preserve">engagement </w:t>
      </w:r>
      <w:r w:rsidRPr="00D470E1">
        <w:rPr>
          <w:i/>
          <w:lang w:val="en-GB"/>
        </w:rPr>
        <w:t>of institutional investors</w:t>
      </w:r>
      <w:r w:rsidR="008E5A1C" w:rsidRPr="00D470E1">
        <w:rPr>
          <w:lang w:val="en-GB"/>
        </w:rPr>
        <w:t xml:space="preserve">. </w:t>
      </w:r>
      <w:r w:rsidRPr="00D470E1">
        <w:rPr>
          <w:lang w:val="en-GB"/>
        </w:rPr>
        <w:t>Agency costs and sustainability</w:t>
      </w:r>
      <w:r w:rsidR="008E5A1C" w:rsidRPr="00D470E1">
        <w:rPr>
          <w:lang w:val="en-GB"/>
        </w:rPr>
        <w:t xml:space="preserve">. </w:t>
      </w:r>
      <w:r w:rsidRPr="00D470E1">
        <w:rPr>
          <w:lang w:val="en-GB"/>
        </w:rPr>
        <w:t>The non-financial activism of institutional investors</w:t>
      </w:r>
      <w:r w:rsidR="008E5A1C" w:rsidRPr="00D470E1">
        <w:rPr>
          <w:lang w:val="en-GB"/>
        </w:rPr>
        <w:t xml:space="preserve">: </w:t>
      </w:r>
      <w:r w:rsidR="008E5A1C" w:rsidRPr="00D470E1">
        <w:rPr>
          <w:i/>
          <w:lang w:val="en-GB"/>
        </w:rPr>
        <w:t>asset manager</w:t>
      </w:r>
      <w:r w:rsidRPr="00D470E1">
        <w:rPr>
          <w:i/>
          <w:lang w:val="en-GB"/>
        </w:rPr>
        <w:t>s</w:t>
      </w:r>
      <w:r w:rsidR="008E5A1C" w:rsidRPr="00D470E1">
        <w:rPr>
          <w:i/>
          <w:lang w:val="en-GB"/>
        </w:rPr>
        <w:t xml:space="preserve"> </w:t>
      </w:r>
      <w:r w:rsidRPr="00D470E1">
        <w:rPr>
          <w:lang w:val="en-GB"/>
        </w:rPr>
        <w:t>and</w:t>
      </w:r>
      <w:r w:rsidR="008E5A1C" w:rsidRPr="00D470E1">
        <w:rPr>
          <w:lang w:val="en-GB"/>
        </w:rPr>
        <w:t xml:space="preserve"> </w:t>
      </w:r>
      <w:r w:rsidR="008E5A1C" w:rsidRPr="00D470E1">
        <w:rPr>
          <w:i/>
          <w:lang w:val="en-GB"/>
        </w:rPr>
        <w:t>beneficial owner</w:t>
      </w:r>
      <w:r w:rsidRPr="00D470E1">
        <w:rPr>
          <w:i/>
          <w:lang w:val="en-GB"/>
        </w:rPr>
        <w:t>s</w:t>
      </w:r>
      <w:r w:rsidR="008E5A1C" w:rsidRPr="00D470E1">
        <w:rPr>
          <w:lang w:val="en-GB"/>
        </w:rPr>
        <w:t xml:space="preserve">. </w:t>
      </w:r>
      <w:r w:rsidRPr="00D470E1">
        <w:rPr>
          <w:lang w:val="en-GB"/>
        </w:rPr>
        <w:t>An introduction to regulations</w:t>
      </w:r>
      <w:r w:rsidR="008E5A1C" w:rsidRPr="00D470E1">
        <w:rPr>
          <w:lang w:val="en-GB"/>
        </w:rPr>
        <w:t xml:space="preserve">: </w:t>
      </w:r>
      <w:r w:rsidRPr="00D470E1">
        <w:rPr>
          <w:lang w:val="en-GB"/>
        </w:rPr>
        <w:t>the differences between the European and the US market</w:t>
      </w:r>
      <w:r w:rsidR="008E5A1C" w:rsidRPr="00D470E1">
        <w:rPr>
          <w:lang w:val="en-GB"/>
        </w:rPr>
        <w:t xml:space="preserve">. </w:t>
      </w:r>
      <w:r w:rsidRPr="00D470E1">
        <w:rPr>
          <w:lang w:val="en-GB"/>
        </w:rPr>
        <w:t>The effectiveness of activism</w:t>
      </w:r>
      <w:r w:rsidR="008E5A1C" w:rsidRPr="00D470E1">
        <w:rPr>
          <w:lang w:val="en-GB"/>
        </w:rPr>
        <w:t>.</w:t>
      </w:r>
    </w:p>
    <w:p w14:paraId="4D7343EB" w14:textId="77777777" w:rsidR="009251FA" w:rsidRPr="00F86E6B" w:rsidRDefault="00EF5C26" w:rsidP="004D1CE3">
      <w:pPr>
        <w:spacing w:before="240" w:after="120" w:line="220" w:lineRule="exact"/>
        <w:rPr>
          <w:b/>
          <w:i/>
          <w:sz w:val="18"/>
          <w:lang w:val="en-US"/>
        </w:rPr>
      </w:pPr>
      <w:r w:rsidRPr="00D470E1">
        <w:rPr>
          <w:b/>
          <w:i/>
          <w:sz w:val="18"/>
          <w:lang w:val="en-US"/>
        </w:rPr>
        <w:t>READING LIST</w:t>
      </w:r>
    </w:p>
    <w:p w14:paraId="5A01765F" w14:textId="04367B52" w:rsidR="009251FA" w:rsidRPr="008A05BB" w:rsidRDefault="00350494" w:rsidP="009251FA">
      <w:pPr>
        <w:pStyle w:val="Testo1"/>
        <w:spacing w:before="0" w:line="240" w:lineRule="atLeast"/>
        <w:rPr>
          <w:spacing w:val="-5"/>
          <w:lang w:val="en-GB"/>
        </w:rPr>
      </w:pPr>
      <w:r w:rsidRPr="008A05BB">
        <w:rPr>
          <w:smallCaps/>
          <w:spacing w:val="-5"/>
          <w:sz w:val="16"/>
          <w:lang w:val="en-GB"/>
        </w:rPr>
        <w:t xml:space="preserve">Del </w:t>
      </w:r>
      <w:r>
        <w:rPr>
          <w:smallCaps/>
          <w:spacing w:val="-5"/>
          <w:sz w:val="16"/>
          <w:lang w:val="en-GB"/>
        </w:rPr>
        <w:t>G</w:t>
      </w:r>
      <w:r w:rsidRPr="008A05BB">
        <w:rPr>
          <w:smallCaps/>
          <w:spacing w:val="-5"/>
          <w:sz w:val="16"/>
          <w:lang w:val="en-GB"/>
        </w:rPr>
        <w:t>iudice</w:t>
      </w:r>
      <w:r w:rsidR="009251FA" w:rsidRPr="008A05BB">
        <w:rPr>
          <w:smallCaps/>
          <w:spacing w:val="-5"/>
          <w:sz w:val="16"/>
          <w:lang w:val="en-GB"/>
        </w:rPr>
        <w:t>,</w:t>
      </w:r>
      <w:r w:rsidR="009251FA" w:rsidRPr="008A05BB">
        <w:rPr>
          <w:i/>
          <w:spacing w:val="-5"/>
          <w:lang w:val="en-GB"/>
        </w:rPr>
        <w:t xml:space="preserve"> </w:t>
      </w:r>
      <w:r w:rsidR="008E5A1C" w:rsidRPr="008A05BB">
        <w:rPr>
          <w:i/>
          <w:spacing w:val="-5"/>
          <w:lang w:val="en-GB"/>
        </w:rPr>
        <w:t>La finanza sostenibile</w:t>
      </w:r>
      <w:r w:rsidR="008E5A1C" w:rsidRPr="008A05BB">
        <w:rPr>
          <w:spacing w:val="-5"/>
          <w:lang w:val="en-GB"/>
        </w:rPr>
        <w:t>, Giappichelli</w:t>
      </w:r>
      <w:r w:rsidR="009251FA" w:rsidRPr="008A05BB">
        <w:rPr>
          <w:spacing w:val="-5"/>
          <w:lang w:val="en-GB"/>
        </w:rPr>
        <w:t>, 20</w:t>
      </w:r>
      <w:r w:rsidR="00E21DCA">
        <w:rPr>
          <w:spacing w:val="-5"/>
          <w:lang w:val="en-GB"/>
        </w:rPr>
        <w:t>22</w:t>
      </w:r>
      <w:r w:rsidR="009251FA" w:rsidRPr="008A05BB">
        <w:rPr>
          <w:spacing w:val="-5"/>
          <w:lang w:val="en-GB"/>
        </w:rPr>
        <w:t xml:space="preserve"> (</w:t>
      </w:r>
      <w:r w:rsidR="003D1940" w:rsidRPr="008A05BB">
        <w:rPr>
          <w:spacing w:val="-5"/>
          <w:lang w:val="en-GB"/>
        </w:rPr>
        <w:t>only the chapters and the paragraphs indicated in class</w:t>
      </w:r>
      <w:r w:rsidR="009251FA" w:rsidRPr="008A05BB">
        <w:rPr>
          <w:spacing w:val="-5"/>
          <w:lang w:val="en-GB"/>
        </w:rPr>
        <w:t>).</w:t>
      </w:r>
      <w:r w:rsidR="00A53A7F" w:rsidRPr="008A05BB">
        <w:rPr>
          <w:spacing w:val="-5"/>
          <w:lang w:val="en-GB"/>
        </w:rPr>
        <w:t xml:space="preserve"> </w:t>
      </w:r>
    </w:p>
    <w:p w14:paraId="0526F8DA" w14:textId="77777777" w:rsidR="00221570" w:rsidRPr="008A05BB" w:rsidRDefault="008A05BB" w:rsidP="00F06DCE">
      <w:pPr>
        <w:pStyle w:val="Testo1"/>
        <w:rPr>
          <w:lang w:val="en-GB"/>
        </w:rPr>
      </w:pPr>
      <w:r w:rsidRPr="008A05BB">
        <w:rPr>
          <w:lang w:val="en-GB"/>
        </w:rPr>
        <w:t>Suggested readings</w:t>
      </w:r>
    </w:p>
    <w:p w14:paraId="43256A9C" w14:textId="77777777" w:rsidR="008E5A1C" w:rsidRPr="00281710" w:rsidRDefault="00221570" w:rsidP="00F06DCE">
      <w:pPr>
        <w:pStyle w:val="Testo1"/>
        <w:spacing w:before="0"/>
        <w:rPr>
          <w:lang w:val="en-US"/>
        </w:rPr>
      </w:pPr>
      <w:r w:rsidRPr="00350494">
        <w:rPr>
          <w:smallCaps/>
          <w:sz w:val="16"/>
          <w:lang w:val="en-US"/>
        </w:rPr>
        <w:t>Dyck A.</w:t>
      </w:r>
      <w:r w:rsidR="00350494">
        <w:rPr>
          <w:smallCaps/>
          <w:sz w:val="16"/>
          <w:lang w:val="en-US"/>
        </w:rPr>
        <w:t xml:space="preserve"> -</w:t>
      </w:r>
      <w:r w:rsidRPr="00350494">
        <w:rPr>
          <w:smallCaps/>
          <w:sz w:val="16"/>
          <w:lang w:val="en-US"/>
        </w:rPr>
        <w:t xml:space="preserve"> Lins K.V.</w:t>
      </w:r>
      <w:r w:rsidR="00350494">
        <w:rPr>
          <w:smallCaps/>
          <w:sz w:val="16"/>
          <w:lang w:val="en-US"/>
        </w:rPr>
        <w:t xml:space="preserve"> -</w:t>
      </w:r>
      <w:r w:rsidRPr="00350494">
        <w:rPr>
          <w:smallCaps/>
          <w:sz w:val="16"/>
          <w:lang w:val="en-US"/>
        </w:rPr>
        <w:t xml:space="preserve"> Roth L. </w:t>
      </w:r>
      <w:r w:rsidR="00350494">
        <w:rPr>
          <w:smallCaps/>
          <w:sz w:val="16"/>
          <w:lang w:val="en-US"/>
        </w:rPr>
        <w:t>-</w:t>
      </w:r>
      <w:r w:rsidRPr="00350494">
        <w:rPr>
          <w:smallCaps/>
          <w:sz w:val="16"/>
          <w:lang w:val="en-US"/>
        </w:rPr>
        <w:t xml:space="preserve"> Wagner H.F.</w:t>
      </w:r>
      <w:r w:rsidRPr="00350494">
        <w:rPr>
          <w:sz w:val="16"/>
          <w:lang w:val="en-US"/>
        </w:rPr>
        <w:t xml:space="preserve"> </w:t>
      </w:r>
      <w:r w:rsidRPr="00F86E6B">
        <w:rPr>
          <w:lang w:val="en-US"/>
        </w:rPr>
        <w:t xml:space="preserve">(2019), </w:t>
      </w:r>
      <w:r w:rsidRPr="00350494">
        <w:rPr>
          <w:i/>
          <w:lang w:val="en-US"/>
        </w:rPr>
        <w:t>Do institutional investors drive</w:t>
      </w:r>
      <w:r w:rsidR="00BA79A6" w:rsidRPr="00350494">
        <w:rPr>
          <w:i/>
          <w:lang w:val="en-US"/>
        </w:rPr>
        <w:t xml:space="preserve"> </w:t>
      </w:r>
      <w:r w:rsidRPr="00350494">
        <w:rPr>
          <w:i/>
          <w:lang w:val="en-US"/>
        </w:rPr>
        <w:t>corporate social responsibility? International evidence</w:t>
      </w:r>
      <w:r w:rsidRPr="00281710">
        <w:rPr>
          <w:lang w:val="en-US"/>
        </w:rPr>
        <w:t>, Journal of Financial</w:t>
      </w:r>
      <w:r w:rsidR="00BA79A6" w:rsidRPr="00281710">
        <w:rPr>
          <w:lang w:val="en-US"/>
        </w:rPr>
        <w:t xml:space="preserve"> </w:t>
      </w:r>
      <w:r w:rsidRPr="00281710">
        <w:rPr>
          <w:lang w:val="en-US"/>
        </w:rPr>
        <w:t>Economics, 131, 693-714.</w:t>
      </w:r>
    </w:p>
    <w:p w14:paraId="73E72E8A" w14:textId="77777777" w:rsidR="00E21DCA" w:rsidRPr="00EC70D1" w:rsidRDefault="00E21DCA" w:rsidP="00E21DCA">
      <w:pPr>
        <w:pStyle w:val="Testo1"/>
        <w:spacing w:before="0" w:line="240" w:lineRule="atLeast"/>
        <w:rPr>
          <w:rFonts w:ascii="Times New Roman" w:hAnsi="Times New Roman"/>
          <w:spacing w:val="-5"/>
          <w:szCs w:val="18"/>
          <w:lang w:val="en-US"/>
        </w:rPr>
      </w:pPr>
      <w:r w:rsidRPr="00F83432">
        <w:rPr>
          <w:rFonts w:ascii="Times New Roman" w:hAnsi="Times New Roman"/>
          <w:smallCaps/>
          <w:spacing w:val="-5"/>
          <w:szCs w:val="18"/>
          <w:lang w:val="en-US"/>
        </w:rPr>
        <w:t xml:space="preserve">Giglio, S., Kelly, B., Stroebel, J., 2021. </w:t>
      </w:r>
      <w:r w:rsidRPr="00E21DCA">
        <w:rPr>
          <w:rFonts w:ascii="Times New Roman" w:hAnsi="Times New Roman"/>
          <w:i/>
          <w:iCs/>
          <w:spacing w:val="-5"/>
          <w:szCs w:val="18"/>
          <w:lang w:val="en-US"/>
        </w:rPr>
        <w:t>Climate Finance. Annual Review of Financial Economics</w:t>
      </w:r>
      <w:r w:rsidRPr="00EC70D1">
        <w:rPr>
          <w:rFonts w:ascii="Times New Roman" w:hAnsi="Times New Roman"/>
          <w:spacing w:val="-5"/>
          <w:szCs w:val="18"/>
          <w:lang w:val="en-US"/>
        </w:rPr>
        <w:t xml:space="preserve"> 13, 15-36.</w:t>
      </w:r>
    </w:p>
    <w:p w14:paraId="0D77AAFB" w14:textId="77777777" w:rsidR="00350494" w:rsidRPr="00281710" w:rsidRDefault="00350494" w:rsidP="00350494">
      <w:pPr>
        <w:pStyle w:val="Testo1"/>
        <w:spacing w:before="0"/>
        <w:rPr>
          <w:lang w:val="en-US"/>
        </w:rPr>
      </w:pPr>
      <w:r w:rsidRPr="00350494">
        <w:rPr>
          <w:smallCaps/>
          <w:sz w:val="16"/>
          <w:lang w:val="en-US"/>
        </w:rPr>
        <w:t xml:space="preserve">Hackenberg B. </w:t>
      </w:r>
      <w:r>
        <w:rPr>
          <w:smallCaps/>
          <w:sz w:val="16"/>
          <w:lang w:val="en-US"/>
        </w:rPr>
        <w:t>-</w:t>
      </w:r>
      <w:r w:rsidRPr="00350494">
        <w:rPr>
          <w:smallCaps/>
          <w:sz w:val="16"/>
          <w:lang w:val="en-US"/>
        </w:rPr>
        <w:t xml:space="preserve"> Schiereck D.</w:t>
      </w:r>
      <w:r w:rsidRPr="00350494">
        <w:rPr>
          <w:sz w:val="16"/>
          <w:lang w:val="en-US"/>
        </w:rPr>
        <w:t xml:space="preserve"> </w:t>
      </w:r>
      <w:r w:rsidRPr="00281710">
        <w:rPr>
          <w:lang w:val="en-US"/>
        </w:rPr>
        <w:t xml:space="preserve">(2018), </w:t>
      </w:r>
      <w:r w:rsidRPr="00350494">
        <w:rPr>
          <w:i/>
          <w:lang w:val="en-US"/>
        </w:rPr>
        <w:t>Are green bonds priced differently from conventional bonds?</w:t>
      </w:r>
      <w:r w:rsidRPr="00281710">
        <w:rPr>
          <w:lang w:val="en-US"/>
        </w:rPr>
        <w:t>, Journal of Asset Management, 19 (6), 371-383.</w:t>
      </w:r>
    </w:p>
    <w:p w14:paraId="42E71D86" w14:textId="77777777" w:rsidR="00221570" w:rsidRPr="00281710" w:rsidRDefault="00221570" w:rsidP="00F06DCE">
      <w:pPr>
        <w:pStyle w:val="Testo1"/>
        <w:spacing w:before="0"/>
        <w:rPr>
          <w:lang w:val="en-US"/>
        </w:rPr>
      </w:pPr>
      <w:r w:rsidRPr="00350494">
        <w:rPr>
          <w:smallCaps/>
          <w:sz w:val="16"/>
          <w:lang w:val="en-US"/>
        </w:rPr>
        <w:t>Hart O. e Zingales L.</w:t>
      </w:r>
      <w:r w:rsidRPr="00350494">
        <w:rPr>
          <w:sz w:val="16"/>
          <w:lang w:val="en-US"/>
        </w:rPr>
        <w:t xml:space="preserve"> </w:t>
      </w:r>
      <w:r w:rsidRPr="00281710">
        <w:rPr>
          <w:lang w:val="en-US"/>
        </w:rPr>
        <w:t xml:space="preserve">(2017), </w:t>
      </w:r>
      <w:r w:rsidRPr="00350494">
        <w:rPr>
          <w:i/>
          <w:lang w:val="en-US"/>
        </w:rPr>
        <w:t>Companies Should Maximize Shareholder Welfare Not</w:t>
      </w:r>
      <w:r w:rsidR="00BA79A6" w:rsidRPr="00350494">
        <w:rPr>
          <w:i/>
          <w:lang w:val="en-US"/>
        </w:rPr>
        <w:t xml:space="preserve"> </w:t>
      </w:r>
      <w:r w:rsidRPr="00350494">
        <w:rPr>
          <w:i/>
          <w:lang w:val="en-US"/>
        </w:rPr>
        <w:t>Market Value</w:t>
      </w:r>
      <w:r w:rsidRPr="00281710">
        <w:rPr>
          <w:lang w:val="en-US"/>
        </w:rPr>
        <w:t>, Journal of Law, Finance, and Accounting, 2 (2): 247-274.</w:t>
      </w:r>
    </w:p>
    <w:p w14:paraId="72819A7F" w14:textId="77777777" w:rsidR="00E21DCA" w:rsidRPr="00EC70D1" w:rsidRDefault="00E21DCA" w:rsidP="00E21DCA">
      <w:pPr>
        <w:pStyle w:val="Testo1"/>
        <w:spacing w:before="0" w:line="240" w:lineRule="atLeast"/>
        <w:rPr>
          <w:rFonts w:ascii="Times New Roman" w:hAnsi="Times New Roman"/>
          <w:i/>
          <w:iCs/>
          <w:spacing w:val="-5"/>
          <w:szCs w:val="18"/>
          <w:lang w:val="en-US"/>
        </w:rPr>
      </w:pPr>
      <w:r w:rsidRPr="00F83432">
        <w:rPr>
          <w:rFonts w:ascii="Times New Roman" w:hAnsi="Times New Roman"/>
          <w:smallCaps/>
          <w:spacing w:val="-5"/>
          <w:szCs w:val="18"/>
        </w:rPr>
        <w:t xml:space="preserve">Hsu, P., Li, K., Tsou, C., 2023. </w:t>
      </w:r>
      <w:r w:rsidRPr="00EC70D1">
        <w:rPr>
          <w:rFonts w:ascii="Times New Roman" w:hAnsi="Times New Roman"/>
          <w:i/>
          <w:iCs/>
          <w:spacing w:val="-5"/>
          <w:szCs w:val="18"/>
          <w:lang w:val="en-US"/>
        </w:rPr>
        <w:t>The Pollution Premium. Journal of Finance, in press.</w:t>
      </w:r>
    </w:p>
    <w:p w14:paraId="7110E6B5" w14:textId="77777777" w:rsidR="00E21DCA" w:rsidRPr="00EC70D1" w:rsidRDefault="00E21DCA" w:rsidP="00E21DCA">
      <w:pPr>
        <w:pStyle w:val="Testo1"/>
        <w:spacing w:before="0" w:line="240" w:lineRule="atLeast"/>
        <w:rPr>
          <w:rFonts w:ascii="Times New Roman" w:hAnsi="Times New Roman"/>
          <w:spacing w:val="-5"/>
          <w:szCs w:val="18"/>
          <w:lang w:val="en-US"/>
        </w:rPr>
      </w:pPr>
      <w:r w:rsidRPr="00EC70D1">
        <w:rPr>
          <w:rFonts w:ascii="Times New Roman" w:hAnsi="Times New Roman"/>
          <w:smallCaps/>
          <w:spacing w:val="-5"/>
          <w:szCs w:val="18"/>
          <w:lang w:val="en-US"/>
        </w:rPr>
        <w:t>Pástor, L, Stambaugh, R. F., Taylor, L. A</w:t>
      </w:r>
      <w:r w:rsidRPr="00EC70D1">
        <w:rPr>
          <w:rFonts w:ascii="Times New Roman" w:hAnsi="Times New Roman"/>
          <w:spacing w:val="-5"/>
          <w:szCs w:val="18"/>
          <w:lang w:val="en-US"/>
        </w:rPr>
        <w:t xml:space="preserve">., 2021. </w:t>
      </w:r>
      <w:r w:rsidRPr="00EC70D1">
        <w:rPr>
          <w:rFonts w:ascii="Times New Roman" w:hAnsi="Times New Roman"/>
          <w:i/>
          <w:iCs/>
          <w:spacing w:val="-5"/>
          <w:szCs w:val="18"/>
          <w:lang w:val="en-US"/>
        </w:rPr>
        <w:t>Sustainable Investing in Equilibrium</w:t>
      </w:r>
      <w:r w:rsidRPr="00EC70D1">
        <w:rPr>
          <w:rFonts w:ascii="Times New Roman" w:hAnsi="Times New Roman"/>
          <w:spacing w:val="-5"/>
          <w:szCs w:val="18"/>
          <w:lang w:val="en-US"/>
        </w:rPr>
        <w:t>. Journal of Financial Economics 142, 550-571.</w:t>
      </w:r>
    </w:p>
    <w:p w14:paraId="306F8F3D" w14:textId="77777777" w:rsidR="00E21DCA" w:rsidRPr="00EC70D1" w:rsidRDefault="00E21DCA" w:rsidP="00E21DCA">
      <w:pPr>
        <w:pStyle w:val="Testo1"/>
        <w:spacing w:before="0" w:line="240" w:lineRule="atLeast"/>
        <w:rPr>
          <w:rFonts w:ascii="Times New Roman" w:hAnsi="Times New Roman"/>
          <w:spacing w:val="-5"/>
          <w:szCs w:val="18"/>
          <w:lang w:val="en-US"/>
        </w:rPr>
      </w:pPr>
      <w:r w:rsidRPr="00F83432">
        <w:rPr>
          <w:rFonts w:ascii="Times New Roman" w:hAnsi="Times New Roman"/>
          <w:smallCaps/>
          <w:spacing w:val="-5"/>
          <w:szCs w:val="18"/>
          <w:lang w:val="en-US"/>
        </w:rPr>
        <w:t xml:space="preserve">Pedersen, L. H., Fitzgibbons, S., Pomorski, L., 2021. </w:t>
      </w:r>
      <w:r w:rsidRPr="00EC70D1">
        <w:rPr>
          <w:rFonts w:ascii="Times New Roman" w:hAnsi="Times New Roman"/>
          <w:i/>
          <w:iCs/>
          <w:spacing w:val="-5"/>
          <w:szCs w:val="18"/>
          <w:lang w:val="en-US"/>
        </w:rPr>
        <w:t>Responsible Investing: The ESG-Efficient Frontier</w:t>
      </w:r>
      <w:r w:rsidRPr="00EC70D1">
        <w:rPr>
          <w:rFonts w:ascii="Times New Roman" w:hAnsi="Times New Roman"/>
          <w:spacing w:val="-5"/>
          <w:szCs w:val="18"/>
          <w:lang w:val="en-US"/>
        </w:rPr>
        <w:t>. Journal of Financial Economics 142, 572-597.</w:t>
      </w:r>
    </w:p>
    <w:p w14:paraId="37647C51" w14:textId="77777777" w:rsidR="00221570" w:rsidRPr="00F06DCE" w:rsidRDefault="00AF0313" w:rsidP="00F06DCE">
      <w:pPr>
        <w:pStyle w:val="Testo1"/>
        <w:spacing w:before="0"/>
        <w:rPr>
          <w:lang w:val="en-US"/>
        </w:rPr>
      </w:pPr>
      <w:r w:rsidRPr="00350494">
        <w:rPr>
          <w:smallCaps/>
          <w:sz w:val="16"/>
          <w:lang w:val="en-US"/>
        </w:rPr>
        <w:t xml:space="preserve">Statman M. </w:t>
      </w:r>
      <w:r w:rsidR="00350494">
        <w:rPr>
          <w:smallCaps/>
          <w:sz w:val="16"/>
          <w:lang w:val="en-US"/>
        </w:rPr>
        <w:t>-</w:t>
      </w:r>
      <w:r w:rsidRPr="00350494">
        <w:rPr>
          <w:smallCaps/>
          <w:sz w:val="16"/>
          <w:lang w:val="en-US"/>
        </w:rPr>
        <w:t xml:space="preserve"> Glushkov D.</w:t>
      </w:r>
      <w:r w:rsidRPr="00350494">
        <w:rPr>
          <w:sz w:val="16"/>
          <w:lang w:val="en-US"/>
        </w:rPr>
        <w:t xml:space="preserve"> </w:t>
      </w:r>
      <w:r w:rsidRPr="00F06DCE">
        <w:rPr>
          <w:lang w:val="en-US"/>
        </w:rPr>
        <w:t xml:space="preserve">(2016), </w:t>
      </w:r>
      <w:r w:rsidRPr="00F06DCE">
        <w:rPr>
          <w:rFonts w:hint="eastAsia"/>
          <w:lang w:val="en-US"/>
        </w:rPr>
        <w:t>“</w:t>
      </w:r>
      <w:r w:rsidRPr="00350494">
        <w:rPr>
          <w:i/>
          <w:lang w:val="en-US"/>
        </w:rPr>
        <w:t>Classifying and measuring the performance of</w:t>
      </w:r>
      <w:r w:rsidR="00BA79A6" w:rsidRPr="00350494">
        <w:rPr>
          <w:i/>
          <w:lang w:val="en-US"/>
        </w:rPr>
        <w:t xml:space="preserve"> </w:t>
      </w:r>
      <w:r w:rsidRPr="00350494">
        <w:rPr>
          <w:i/>
          <w:lang w:val="en-US"/>
        </w:rPr>
        <w:t>socially responsible mutual funds</w:t>
      </w:r>
      <w:r w:rsidRPr="00F06DCE">
        <w:rPr>
          <w:rFonts w:hint="eastAsia"/>
          <w:lang w:val="en-US"/>
        </w:rPr>
        <w:t>”</w:t>
      </w:r>
      <w:r w:rsidRPr="00F06DCE">
        <w:rPr>
          <w:lang w:val="en-US"/>
        </w:rPr>
        <w:t>, Journal of Portfolio Management, 42(2), 140-151.</w:t>
      </w:r>
    </w:p>
    <w:p w14:paraId="2501F2B7" w14:textId="77777777" w:rsidR="009251FA" w:rsidRPr="008A05BB" w:rsidRDefault="008A05BB" w:rsidP="003249B4">
      <w:pPr>
        <w:pStyle w:val="Testo1"/>
        <w:spacing w:before="0"/>
        <w:rPr>
          <w:lang w:val="en-GB"/>
        </w:rPr>
      </w:pPr>
      <w:r w:rsidRPr="008A05BB">
        <w:rPr>
          <w:lang w:val="en-GB"/>
        </w:rPr>
        <w:t xml:space="preserve">Lecture notes, bibliographical references, and further teaching material </w:t>
      </w:r>
      <w:r>
        <w:rPr>
          <w:lang w:val="en-GB"/>
        </w:rPr>
        <w:t>indicated</w:t>
      </w:r>
      <w:r w:rsidRPr="008A05BB">
        <w:rPr>
          <w:lang w:val="en-GB"/>
        </w:rPr>
        <w:t xml:space="preserve"> in class</w:t>
      </w:r>
      <w:r w:rsidR="009251FA" w:rsidRPr="008A05BB">
        <w:rPr>
          <w:lang w:val="en-GB"/>
        </w:rPr>
        <w:t xml:space="preserve">. </w:t>
      </w:r>
      <w:r w:rsidRPr="008A05BB">
        <w:rPr>
          <w:lang w:val="en-GB"/>
        </w:rPr>
        <w:t xml:space="preserve">Please note that the majority of the teaching material is </w:t>
      </w:r>
      <w:r>
        <w:rPr>
          <w:lang w:val="en-GB"/>
        </w:rPr>
        <w:t xml:space="preserve">written </w:t>
      </w:r>
      <w:r w:rsidRPr="008A05BB">
        <w:rPr>
          <w:lang w:val="en-GB"/>
        </w:rPr>
        <w:t>in English</w:t>
      </w:r>
      <w:r w:rsidR="009251FA" w:rsidRPr="008A05BB">
        <w:rPr>
          <w:lang w:val="en-GB"/>
        </w:rPr>
        <w:t>.</w:t>
      </w:r>
    </w:p>
    <w:p w14:paraId="56C90E4D" w14:textId="77777777" w:rsidR="009251FA" w:rsidRPr="00F86E6B" w:rsidRDefault="00EF5C26" w:rsidP="009251FA">
      <w:pPr>
        <w:spacing w:before="240" w:after="120" w:line="220" w:lineRule="exact"/>
        <w:rPr>
          <w:b/>
          <w:i/>
          <w:sz w:val="18"/>
          <w:lang w:val="en-US"/>
        </w:rPr>
      </w:pPr>
      <w:r w:rsidRPr="00F86E6B">
        <w:rPr>
          <w:b/>
          <w:i/>
          <w:sz w:val="18"/>
          <w:lang w:val="en-US"/>
        </w:rPr>
        <w:t>TEACHING METHOD</w:t>
      </w:r>
    </w:p>
    <w:p w14:paraId="7A36862C" w14:textId="77777777" w:rsidR="00BA79A6" w:rsidRPr="008A05BB" w:rsidRDefault="008A05BB" w:rsidP="00BA79A6">
      <w:pPr>
        <w:pStyle w:val="Testo2"/>
        <w:rPr>
          <w:lang w:val="en-GB"/>
        </w:rPr>
      </w:pPr>
      <w:r w:rsidRPr="008A05BB">
        <w:rPr>
          <w:lang w:val="en-GB"/>
        </w:rPr>
        <w:t>Frontal lectures</w:t>
      </w:r>
      <w:r w:rsidR="009251FA" w:rsidRPr="008A05BB">
        <w:rPr>
          <w:lang w:val="en-GB"/>
        </w:rPr>
        <w:t xml:space="preserve"> (60 </w:t>
      </w:r>
      <w:r w:rsidRPr="008A05BB">
        <w:rPr>
          <w:lang w:val="en-GB"/>
        </w:rPr>
        <w:t>hours</w:t>
      </w:r>
      <w:r w:rsidR="009251FA" w:rsidRPr="008A05BB">
        <w:rPr>
          <w:lang w:val="en-GB"/>
        </w:rPr>
        <w:t xml:space="preserve">, </w:t>
      </w:r>
      <w:r w:rsidRPr="008A05BB">
        <w:rPr>
          <w:lang w:val="en-GB"/>
        </w:rPr>
        <w:t xml:space="preserve">organised </w:t>
      </w:r>
      <w:r>
        <w:rPr>
          <w:lang w:val="en-GB"/>
        </w:rPr>
        <w:t>in 5 hours per week x 12 weeks), including</w:t>
      </w:r>
      <w:r w:rsidRPr="008A05BB">
        <w:rPr>
          <w:lang w:val="en-GB"/>
        </w:rPr>
        <w:t xml:space="preserve"> theoretical explanations and subject matter experts.</w:t>
      </w:r>
    </w:p>
    <w:p w14:paraId="18C63CE6" w14:textId="77777777" w:rsidR="009251FA" w:rsidRPr="00F86E6B" w:rsidRDefault="00EF5C26" w:rsidP="009251FA">
      <w:pPr>
        <w:spacing w:before="240" w:after="120" w:line="220" w:lineRule="exact"/>
        <w:rPr>
          <w:b/>
          <w:i/>
          <w:noProof/>
          <w:sz w:val="18"/>
          <w:lang w:val="en-US"/>
        </w:rPr>
      </w:pPr>
      <w:r w:rsidRPr="00F86E6B">
        <w:rPr>
          <w:b/>
          <w:i/>
          <w:noProof/>
          <w:sz w:val="18"/>
          <w:lang w:val="en-US"/>
        </w:rPr>
        <w:t>ASSESSMENT METHOD AND CRITERIA</w:t>
      </w:r>
    </w:p>
    <w:p w14:paraId="081B0139" w14:textId="77777777" w:rsidR="009251FA" w:rsidRPr="008A05BB" w:rsidRDefault="008A05BB" w:rsidP="008A05BB">
      <w:pPr>
        <w:pStyle w:val="Testo2"/>
        <w:rPr>
          <w:lang w:val="en-GB"/>
        </w:rPr>
      </w:pPr>
      <w:r w:rsidRPr="008A05BB">
        <w:rPr>
          <w:lang w:val="en-GB"/>
        </w:rPr>
        <w:t xml:space="preserve">Written exam, to be taken during the official exam sessions, and consisting in two calculation exercises and an open-ended question on the theory; </w:t>
      </w:r>
      <w:r>
        <w:rPr>
          <w:lang w:val="en-GB"/>
        </w:rPr>
        <w:t xml:space="preserve">please note that also the </w:t>
      </w:r>
      <w:r>
        <w:rPr>
          <w:lang w:val="en-GB"/>
        </w:rPr>
        <w:lastRenderedPageBreak/>
        <w:t>‘theoretical’ question may include the request to perform simple calculations. Both the exercises and the theoretical question will have the same importance in terms of score. There will be no interim tests.</w:t>
      </w:r>
    </w:p>
    <w:p w14:paraId="0F0AADFE" w14:textId="77777777" w:rsidR="009251FA" w:rsidRPr="00F86E6B" w:rsidRDefault="00EF5C26" w:rsidP="009251FA">
      <w:pPr>
        <w:spacing w:before="240" w:after="120" w:line="240" w:lineRule="exact"/>
        <w:rPr>
          <w:b/>
          <w:i/>
          <w:noProof/>
          <w:sz w:val="18"/>
          <w:lang w:val="en-US"/>
        </w:rPr>
      </w:pPr>
      <w:r w:rsidRPr="00F86E6B">
        <w:rPr>
          <w:b/>
          <w:i/>
          <w:noProof/>
          <w:sz w:val="18"/>
          <w:lang w:val="en-US"/>
        </w:rPr>
        <w:t>NOTES AND PREREQUISITES</w:t>
      </w:r>
    </w:p>
    <w:p w14:paraId="27C1AB49" w14:textId="77777777" w:rsidR="009251FA" w:rsidRPr="00F86E6B" w:rsidRDefault="008A05BB" w:rsidP="004D1CE3">
      <w:pPr>
        <w:ind w:firstLine="284"/>
        <w:rPr>
          <w:i/>
          <w:noProof/>
          <w:sz w:val="18"/>
          <w:szCs w:val="18"/>
          <w:lang w:val="en-US"/>
        </w:rPr>
      </w:pPr>
      <w:r w:rsidRPr="00F86E6B">
        <w:rPr>
          <w:i/>
          <w:noProof/>
          <w:sz w:val="18"/>
          <w:szCs w:val="18"/>
          <w:lang w:val="en-US"/>
        </w:rPr>
        <w:t>Notes</w:t>
      </w:r>
    </w:p>
    <w:p w14:paraId="4BD4EA55" w14:textId="77777777" w:rsidR="009251FA" w:rsidRPr="00F86E6B" w:rsidRDefault="008A05BB" w:rsidP="003249B4">
      <w:pPr>
        <w:pStyle w:val="Testo2"/>
        <w:rPr>
          <w:lang w:val="en-US"/>
        </w:rPr>
      </w:pPr>
      <w:r w:rsidRPr="00EC238A">
        <w:rPr>
          <w:lang w:val="en-GB"/>
        </w:rPr>
        <w:t xml:space="preserve">In order to get the most out of this course and </w:t>
      </w:r>
      <w:r w:rsidR="00EC238A" w:rsidRPr="00EC238A">
        <w:rPr>
          <w:lang w:val="en-GB"/>
        </w:rPr>
        <w:t>prepare for</w:t>
      </w:r>
      <w:r w:rsidRPr="00EC238A">
        <w:rPr>
          <w:lang w:val="en-GB"/>
        </w:rPr>
        <w:t xml:space="preserve"> the final exam, students are invited to regularly attend classes and</w:t>
      </w:r>
      <w:r w:rsidR="00EC238A" w:rsidRPr="00EC238A">
        <w:rPr>
          <w:lang w:val="en-GB"/>
        </w:rPr>
        <w:t xml:space="preserve"> do the exercises.</w:t>
      </w:r>
      <w:r w:rsidRPr="00EC238A">
        <w:rPr>
          <w:lang w:val="en-GB"/>
        </w:rPr>
        <w:t xml:space="preserve"> </w:t>
      </w:r>
      <w:r w:rsidR="00EC238A">
        <w:rPr>
          <w:lang w:val="en-GB"/>
        </w:rPr>
        <w:t>In addition, a</w:t>
      </w:r>
      <w:r w:rsidR="00EC238A" w:rsidRPr="00EC238A">
        <w:rPr>
          <w:lang w:val="en-GB"/>
        </w:rPr>
        <w:t xml:space="preserve">ttending students will have the possibility to discuss some case studies in class. Therefore, they are invited to consider this </w:t>
      </w:r>
      <w:r w:rsidR="00EC238A">
        <w:rPr>
          <w:lang w:val="en-GB"/>
        </w:rPr>
        <w:t>in the organisation of</w:t>
      </w:r>
      <w:r w:rsidR="00EC238A" w:rsidRPr="00EC238A">
        <w:rPr>
          <w:lang w:val="en-GB"/>
        </w:rPr>
        <w:t xml:space="preserve"> their activities. </w:t>
      </w:r>
    </w:p>
    <w:p w14:paraId="422E9E6A" w14:textId="77777777" w:rsidR="00281710" w:rsidRPr="00281710" w:rsidRDefault="00281710" w:rsidP="00281710">
      <w:pPr>
        <w:tabs>
          <w:tab w:val="left" w:pos="284"/>
        </w:tabs>
        <w:spacing w:before="120" w:line="220" w:lineRule="exact"/>
        <w:ind w:firstLine="284"/>
        <w:rPr>
          <w:rFonts w:ascii="Times" w:hAnsi="Times"/>
          <w:i/>
          <w:noProof/>
          <w:sz w:val="18"/>
          <w:lang w:val="en-GB"/>
        </w:rPr>
      </w:pPr>
      <w:r w:rsidRPr="00281710">
        <w:rPr>
          <w:rFonts w:ascii="Times" w:hAnsi="Times"/>
          <w:noProof/>
          <w:sz w:val="18"/>
          <w:lang w:val="en-GB"/>
        </w:rPr>
        <w:t>Further information can be found on the lecturer's webpage at http://docenti.unicatt.it/web/searchByName.do?language=ENG or on the Faculty notice board.</w:t>
      </w:r>
    </w:p>
    <w:p w14:paraId="118012B1" w14:textId="77777777" w:rsidR="00F06DCE" w:rsidRPr="00281710" w:rsidRDefault="00F06DCE" w:rsidP="00F06DCE">
      <w:pPr>
        <w:pStyle w:val="Testo2"/>
        <w:rPr>
          <w:lang w:val="en-GB"/>
        </w:rPr>
      </w:pPr>
    </w:p>
    <w:sectPr w:rsidR="00F06DCE" w:rsidRPr="0028171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94F6" w14:textId="77777777" w:rsidR="00B1602E" w:rsidRDefault="00B1602E" w:rsidP="00A53A7F">
      <w:r>
        <w:separator/>
      </w:r>
    </w:p>
  </w:endnote>
  <w:endnote w:type="continuationSeparator" w:id="0">
    <w:p w14:paraId="38314537" w14:textId="77777777" w:rsidR="00B1602E" w:rsidRDefault="00B1602E" w:rsidP="00A5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BD08" w14:textId="77777777" w:rsidR="00B1602E" w:rsidRDefault="00B1602E" w:rsidP="00A53A7F">
      <w:r>
        <w:separator/>
      </w:r>
    </w:p>
  </w:footnote>
  <w:footnote w:type="continuationSeparator" w:id="0">
    <w:p w14:paraId="1290F4F7" w14:textId="77777777" w:rsidR="00B1602E" w:rsidRDefault="00B1602E" w:rsidP="00A5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E9A"/>
    <w:multiLevelType w:val="hybridMultilevel"/>
    <w:tmpl w:val="93E891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6D2BB1"/>
    <w:multiLevelType w:val="hybridMultilevel"/>
    <w:tmpl w:val="3E5238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F80285"/>
    <w:multiLevelType w:val="hybridMultilevel"/>
    <w:tmpl w:val="743E131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11399727">
    <w:abstractNumId w:val="2"/>
  </w:num>
  <w:num w:numId="2" w16cid:durableId="6445886">
    <w:abstractNumId w:val="0"/>
  </w:num>
  <w:num w:numId="3" w16cid:durableId="54795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11"/>
    <w:rsid w:val="000963FE"/>
    <w:rsid w:val="00187B99"/>
    <w:rsid w:val="002014DD"/>
    <w:rsid w:val="0020576A"/>
    <w:rsid w:val="00216DF2"/>
    <w:rsid w:val="00221570"/>
    <w:rsid w:val="00281710"/>
    <w:rsid w:val="002D5E17"/>
    <w:rsid w:val="003249B4"/>
    <w:rsid w:val="00350494"/>
    <w:rsid w:val="00385D39"/>
    <w:rsid w:val="00395FB9"/>
    <w:rsid w:val="003D1940"/>
    <w:rsid w:val="00422D0F"/>
    <w:rsid w:val="004D1217"/>
    <w:rsid w:val="004D1CE3"/>
    <w:rsid w:val="004D6008"/>
    <w:rsid w:val="0055280A"/>
    <w:rsid w:val="005961B7"/>
    <w:rsid w:val="00614303"/>
    <w:rsid w:val="006234AE"/>
    <w:rsid w:val="00640794"/>
    <w:rsid w:val="006F1772"/>
    <w:rsid w:val="00816463"/>
    <w:rsid w:val="008942E7"/>
    <w:rsid w:val="008A05BB"/>
    <w:rsid w:val="008A1204"/>
    <w:rsid w:val="008E2D4B"/>
    <w:rsid w:val="008E5A1C"/>
    <w:rsid w:val="00900CCA"/>
    <w:rsid w:val="00906459"/>
    <w:rsid w:val="00924B77"/>
    <w:rsid w:val="009251FA"/>
    <w:rsid w:val="00940DA2"/>
    <w:rsid w:val="009673E4"/>
    <w:rsid w:val="009D7E11"/>
    <w:rsid w:val="009E055C"/>
    <w:rsid w:val="009E4F78"/>
    <w:rsid w:val="00A53A7F"/>
    <w:rsid w:val="00A74F6F"/>
    <w:rsid w:val="00AC0C10"/>
    <w:rsid w:val="00AD7557"/>
    <w:rsid w:val="00AF0313"/>
    <w:rsid w:val="00B1602E"/>
    <w:rsid w:val="00B50C5D"/>
    <w:rsid w:val="00B51253"/>
    <w:rsid w:val="00B525CC"/>
    <w:rsid w:val="00B80259"/>
    <w:rsid w:val="00BA79A6"/>
    <w:rsid w:val="00BD6829"/>
    <w:rsid w:val="00CB4606"/>
    <w:rsid w:val="00D3663F"/>
    <w:rsid w:val="00D404F2"/>
    <w:rsid w:val="00D470E1"/>
    <w:rsid w:val="00D66A61"/>
    <w:rsid w:val="00E21DCA"/>
    <w:rsid w:val="00E607E6"/>
    <w:rsid w:val="00EC238A"/>
    <w:rsid w:val="00EE4D98"/>
    <w:rsid w:val="00EF5C26"/>
    <w:rsid w:val="00F06DCE"/>
    <w:rsid w:val="00F86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3C842"/>
  <w15:docId w15:val="{F871D896-EE05-4AA7-A940-C82F7BA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7E11"/>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53A7F"/>
  </w:style>
  <w:style w:type="character" w:customStyle="1" w:styleId="TestonotaapidipaginaCarattere">
    <w:name w:val="Testo nota a piè di pagina Carattere"/>
    <w:basedOn w:val="Carpredefinitoparagrafo"/>
    <w:link w:val="Testonotaapidipagina"/>
    <w:rsid w:val="00A53A7F"/>
  </w:style>
  <w:style w:type="character" w:styleId="Rimandonotaapidipagina">
    <w:name w:val="footnote reference"/>
    <w:basedOn w:val="Carpredefinitoparagrafo"/>
    <w:rsid w:val="00A53A7F"/>
    <w:rPr>
      <w:vertAlign w:val="superscript"/>
    </w:rPr>
  </w:style>
  <w:style w:type="character" w:styleId="Collegamentoipertestuale">
    <w:name w:val="Hyperlink"/>
    <w:basedOn w:val="Carpredefinitoparagrafo"/>
    <w:rsid w:val="00A53A7F"/>
    <w:rPr>
      <w:color w:val="0563C1" w:themeColor="hyperlink"/>
      <w:u w:val="single"/>
    </w:rPr>
  </w:style>
  <w:style w:type="paragraph" w:styleId="Paragrafoelenco">
    <w:name w:val="List Paragraph"/>
    <w:basedOn w:val="Normale"/>
    <w:uiPriority w:val="34"/>
    <w:qFormat/>
    <w:rsid w:val="00E2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8461-D987-4D9F-9F2B-FE9ACB58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763</Words>
  <Characters>4599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2023-05-11T15:01:00Z</dcterms:created>
  <dcterms:modified xsi:type="dcterms:W3CDTF">2024-01-09T15:04:00Z</dcterms:modified>
</cp:coreProperties>
</file>