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B18F" w14:textId="77777777" w:rsidR="00DD209C" w:rsidRPr="00297047" w:rsidRDefault="00DD209C" w:rsidP="00DD209C">
      <w:pPr>
        <w:pStyle w:val="Titolo1"/>
        <w:rPr>
          <w:noProof w:val="0"/>
        </w:rPr>
      </w:pPr>
      <w:r w:rsidRPr="00297047">
        <w:rPr>
          <w:noProof w:val="0"/>
        </w:rPr>
        <w:t>Health Economics</w:t>
      </w:r>
    </w:p>
    <w:p w14:paraId="3AAEE59C" w14:textId="16D3F8CB" w:rsidR="00F55712" w:rsidRPr="004F2D76" w:rsidRDefault="00D271FA" w:rsidP="004F2D76">
      <w:pPr>
        <w:pStyle w:val="Titolo2"/>
      </w:pPr>
      <w:r w:rsidRPr="003C5C59">
        <w:t>Prof. Elena Cottini</w:t>
      </w:r>
      <w:r w:rsidR="00BC4315">
        <w:t>;</w:t>
      </w:r>
      <w:r w:rsidR="003E001A">
        <w:t xml:space="preserve"> Prof. </w:t>
      </w:r>
      <w:r w:rsidR="00BC4315">
        <w:t>Gilberto Turati</w:t>
      </w:r>
    </w:p>
    <w:p w14:paraId="61E73031" w14:textId="77777777" w:rsidR="002D084E" w:rsidRPr="00BD7C6B" w:rsidRDefault="00F55712" w:rsidP="00BD7C6B">
      <w:pPr>
        <w:spacing w:before="240" w:after="120"/>
        <w:rPr>
          <w:b/>
          <w:i/>
          <w:sz w:val="18"/>
          <w:lang w:val="en-US"/>
        </w:rPr>
      </w:pPr>
      <w:r w:rsidRPr="00A0030D">
        <w:rPr>
          <w:b/>
          <w:i/>
          <w:sz w:val="18"/>
          <w:lang w:val="en-US"/>
        </w:rPr>
        <w:t xml:space="preserve">COURSE AIMS AND INTENDED LEARNING OUTCOMES </w:t>
      </w:r>
    </w:p>
    <w:p w14:paraId="7D30A4EF" w14:textId="77777777" w:rsidR="004A3D3B" w:rsidRDefault="00F55712" w:rsidP="00817725">
      <w:pPr>
        <w:spacing w:line="240" w:lineRule="exact"/>
      </w:pPr>
      <w:r>
        <w:t>The course aims to</w:t>
      </w:r>
      <w:r w:rsidR="0091027B">
        <w:t xml:space="preserve"> </w:t>
      </w:r>
      <w:r w:rsidR="005F296C">
        <w:t xml:space="preserve">help students acquire a solid knowledge that enables them to </w:t>
      </w:r>
      <w:r w:rsidR="002D1898">
        <w:t>analyse the economics</w:t>
      </w:r>
      <w:r w:rsidR="005F296C">
        <w:t xml:space="preserve"> of he</w:t>
      </w:r>
      <w:r w:rsidR="002D1898">
        <w:t>a</w:t>
      </w:r>
      <w:r w:rsidR="00BD7C6B">
        <w:t xml:space="preserve">lth services, </w:t>
      </w:r>
      <w:r w:rsidR="005F296C">
        <w:t>starting from health expe</w:t>
      </w:r>
      <w:r w:rsidR="00BD7C6B">
        <w:t>nditure interpreted a</w:t>
      </w:r>
      <w:r w:rsidR="005F296C">
        <w:t>s</w:t>
      </w:r>
      <w:r w:rsidR="00BD7C6B">
        <w:t xml:space="preserve"> </w:t>
      </w:r>
      <w:r w:rsidR="005F296C">
        <w:t>an equilibrium between demand and supply of services. The analysis of demand and supply is based on economic theory, that is useful to discuss efficiency and equity</w:t>
      </w:r>
      <w:r w:rsidR="002D1898">
        <w:t xml:space="preserve"> aspects</w:t>
      </w:r>
      <w:r w:rsidR="00BD7C6B">
        <w:t xml:space="preserve"> that characterise</w:t>
      </w:r>
      <w:r w:rsidR="005F296C">
        <w:t xml:space="preserve"> the sector and can justify public sector intervention.  However, the course supplements this theoretical analysis with both empirical evidence and the institutional framework </w:t>
      </w:r>
      <w:r w:rsidR="002D1898">
        <w:t xml:space="preserve">that is needed </w:t>
      </w:r>
      <w:r w:rsidR="005F296C">
        <w:t xml:space="preserve">in order to understand the </w:t>
      </w:r>
      <w:r w:rsidR="002D1898">
        <w:t xml:space="preserve">most important and recent health policy issues, with a focus on the Italian National Health Service. </w:t>
      </w:r>
      <w:r w:rsidR="005F296C">
        <w:t xml:space="preserve"> </w:t>
      </w:r>
      <w:r w:rsidR="009F2E2D">
        <w:t>Hence, the course</w:t>
      </w:r>
      <w:r w:rsidR="00BD7C6B">
        <w:t xml:space="preserve"> covers the following topics: </w:t>
      </w:r>
      <w:r w:rsidR="00D271FA" w:rsidRPr="00BD7BF5">
        <w:t xml:space="preserve">i) </w:t>
      </w:r>
      <w:r w:rsidR="009F2E2D">
        <w:t>public and private health expenditure and health systems</w:t>
      </w:r>
      <w:r w:rsidR="008B3A04">
        <w:t xml:space="preserve">; </w:t>
      </w:r>
      <w:r w:rsidR="004A3D3B">
        <w:t xml:space="preserve">ii) </w:t>
      </w:r>
      <w:r w:rsidR="009F2E2D">
        <w:t>health</w:t>
      </w:r>
      <w:r w:rsidR="004A3D3B">
        <w:t xml:space="preserve">, </w:t>
      </w:r>
      <w:r w:rsidR="009F2E2D">
        <w:t>health determinants</w:t>
      </w:r>
      <w:r w:rsidR="00547D4E">
        <w:t>; iii)</w:t>
      </w:r>
      <w:r w:rsidR="004A3D3B">
        <w:t xml:space="preserve"> </w:t>
      </w:r>
      <w:r w:rsidR="009F2E2D">
        <w:t>the demand for health services</w:t>
      </w:r>
      <w:r w:rsidR="004A3D3B">
        <w:t>; i</w:t>
      </w:r>
      <w:r w:rsidR="00547D4E">
        <w:t>v</w:t>
      </w:r>
      <w:r w:rsidR="004A3D3B">
        <w:t xml:space="preserve">) </w:t>
      </w:r>
      <w:r w:rsidR="009F2E2D">
        <w:t>the supply of health services</w:t>
      </w:r>
      <w:r w:rsidR="004A3D3B">
        <w:t xml:space="preserve">, </w:t>
      </w:r>
      <w:r w:rsidR="009F2E2D">
        <w:t>with particular reference to hospitals</w:t>
      </w:r>
      <w:r w:rsidR="008B3A04">
        <w:t>;</w:t>
      </w:r>
      <w:r w:rsidR="004A3D3B">
        <w:t xml:space="preserve"> v) </w:t>
      </w:r>
      <w:r w:rsidR="009F2E2D">
        <w:t>the industrial organisation of health markets and services</w:t>
      </w:r>
      <w:r w:rsidR="004A3D3B">
        <w:t>; v</w:t>
      </w:r>
      <w:r w:rsidR="00547D4E">
        <w:t>i</w:t>
      </w:r>
      <w:r w:rsidR="004A3D3B">
        <w:t xml:space="preserve">) </w:t>
      </w:r>
      <w:r w:rsidR="009F2E2D">
        <w:t xml:space="preserve">the decentralisation of health policies at both national and </w:t>
      </w:r>
      <w:r w:rsidR="008B3A04">
        <w:t>sub-national level</w:t>
      </w:r>
      <w:r w:rsidR="00C306ED">
        <w:t>; vi</w:t>
      </w:r>
      <w:r w:rsidR="00547D4E">
        <w:t>i</w:t>
      </w:r>
      <w:r w:rsidR="00C306ED">
        <w:t xml:space="preserve">) </w:t>
      </w:r>
      <w:r w:rsidR="008B3A04">
        <w:t xml:space="preserve">efficiency and </w:t>
      </w:r>
      <w:r w:rsidR="00833B9B">
        <w:t>appropriateness of health services</w:t>
      </w:r>
      <w:r w:rsidR="00C306ED">
        <w:t>.</w:t>
      </w:r>
    </w:p>
    <w:p w14:paraId="49CFBDFA" w14:textId="77777777" w:rsidR="00D271FA" w:rsidRDefault="00D271FA" w:rsidP="004F2D76">
      <w:pPr>
        <w:spacing w:before="120" w:line="240" w:lineRule="exact"/>
      </w:pPr>
      <w:r>
        <w:t>A</w:t>
      </w:r>
      <w:r w:rsidR="00362A14">
        <w:t>t the end of the course, students will have acquired</w:t>
      </w:r>
      <w:r>
        <w:t>:</w:t>
      </w:r>
    </w:p>
    <w:p w14:paraId="41B80C77" w14:textId="77777777" w:rsidR="00D271FA" w:rsidRPr="006D56BB" w:rsidRDefault="00362A14" w:rsidP="00886B27">
      <w:pPr>
        <w:pStyle w:val="Paragrafoelenco"/>
        <w:numPr>
          <w:ilvl w:val="1"/>
          <w:numId w:val="1"/>
        </w:numPr>
        <w:ind w:left="284" w:hanging="284"/>
      </w:pPr>
      <w:r>
        <w:t xml:space="preserve">Knowledge of the main theoretical economic models they can use as reference in the field of health economics.  </w:t>
      </w:r>
      <w:r w:rsidR="00D271FA" w:rsidRPr="006D56BB">
        <w:t xml:space="preserve"> </w:t>
      </w:r>
    </w:p>
    <w:p w14:paraId="4CC3199B" w14:textId="77777777" w:rsidR="00D271FA" w:rsidRPr="006D56BB" w:rsidRDefault="00362A14" w:rsidP="00886B27">
      <w:pPr>
        <w:pStyle w:val="Paragrafoelenco"/>
        <w:numPr>
          <w:ilvl w:val="1"/>
          <w:numId w:val="1"/>
        </w:numPr>
        <w:ind w:left="284" w:hanging="284"/>
      </w:pPr>
      <w:r>
        <w:t>The ability to apply the acquired knowled</w:t>
      </w:r>
      <w:r w:rsidR="008B3A04">
        <w:t>ge in order to understand the me</w:t>
      </w:r>
      <w:r>
        <w:t xml:space="preserve">chanisms regulating the demand and supply of health services. </w:t>
      </w:r>
    </w:p>
    <w:p w14:paraId="73BA2A1E" w14:textId="77777777" w:rsidR="00D271FA" w:rsidRPr="006D56BB" w:rsidRDefault="001E5581" w:rsidP="00886B27">
      <w:pPr>
        <w:pStyle w:val="Paragrafoelenco"/>
        <w:numPr>
          <w:ilvl w:val="1"/>
          <w:numId w:val="1"/>
        </w:numPr>
        <w:ind w:left="284" w:hanging="284"/>
      </w:pPr>
      <w:r>
        <w:t xml:space="preserve">The ability to rigorously and critically </w:t>
      </w:r>
      <w:r w:rsidR="00D448D6">
        <w:t>evaluate</w:t>
      </w:r>
      <w:r>
        <w:t xml:space="preserve"> the cost and effectiveness of health programmes and services.  </w:t>
      </w:r>
    </w:p>
    <w:p w14:paraId="47EEC6CC" w14:textId="77777777" w:rsidR="00D271FA" w:rsidRDefault="00586ADD" w:rsidP="00886B27">
      <w:pPr>
        <w:pStyle w:val="Paragrafoelenco"/>
        <w:numPr>
          <w:ilvl w:val="1"/>
          <w:numId w:val="1"/>
        </w:numPr>
        <w:ind w:left="284" w:hanging="284"/>
      </w:pPr>
      <w:r>
        <w:t>An appropriate technical lexicon that allows them to communicate the acquired knowledge clearly</w:t>
      </w:r>
      <w:r w:rsidR="008B3A04">
        <w:t>,</w:t>
      </w:r>
      <w:r>
        <w:t xml:space="preserve"> to a specialist and lay audience. </w:t>
      </w:r>
    </w:p>
    <w:p w14:paraId="2E4D4A5D" w14:textId="795185C5" w:rsidR="00D271FA" w:rsidRDefault="00586ADD" w:rsidP="00886B27">
      <w:pPr>
        <w:pStyle w:val="Paragrafoelenco"/>
        <w:numPr>
          <w:ilvl w:val="1"/>
          <w:numId w:val="1"/>
        </w:numPr>
        <w:ind w:left="284" w:hanging="284"/>
      </w:pPr>
      <w:r>
        <w:t>Skills that will enable them to carry out an independent analysis of complex</w:t>
      </w:r>
      <w:r w:rsidR="00297047">
        <w:t xml:space="preserve"> </w:t>
      </w:r>
      <w:r>
        <w:t xml:space="preserve">health policy themes. </w:t>
      </w:r>
    </w:p>
    <w:p w14:paraId="0E0F8A6A" w14:textId="77777777" w:rsidR="008B3A04" w:rsidRDefault="00F55712" w:rsidP="004F2D76">
      <w:pPr>
        <w:spacing w:before="240" w:after="120" w:line="240" w:lineRule="exact"/>
        <w:rPr>
          <w:b/>
          <w:i/>
          <w:sz w:val="18"/>
        </w:rPr>
      </w:pPr>
      <w:r>
        <w:rPr>
          <w:b/>
          <w:i/>
          <w:sz w:val="18"/>
        </w:rPr>
        <w:t>COURSE CONTENT</w:t>
      </w:r>
    </w:p>
    <w:p w14:paraId="29DC8656" w14:textId="77777777" w:rsidR="004A3D3B" w:rsidRDefault="004A3D3B" w:rsidP="00886B27">
      <w:pPr>
        <w:spacing w:line="240" w:lineRule="exact"/>
      </w:pPr>
      <w:r>
        <w:t>A</w:t>
      </w:r>
      <w:r w:rsidRPr="00BD7BF5">
        <w:t>)</w:t>
      </w:r>
      <w:r w:rsidR="00586ADD">
        <w:rPr>
          <w:smallCaps/>
        </w:rPr>
        <w:t xml:space="preserve"> </w:t>
      </w:r>
      <w:r w:rsidR="002D084E" w:rsidRPr="002D084E">
        <w:rPr>
          <w:smallCaps/>
          <w:sz w:val="16"/>
          <w:szCs w:val="16"/>
        </w:rPr>
        <w:t>HEALTH EXPENDITURE AND HEALTH SYSTEMS</w:t>
      </w:r>
    </w:p>
    <w:p w14:paraId="0C1A526F" w14:textId="77777777" w:rsidR="00ED2313" w:rsidRDefault="004A3D3B">
      <w:pPr>
        <w:spacing w:line="240" w:lineRule="exact"/>
      </w:pPr>
      <w:r>
        <w:t xml:space="preserve">a1) </w:t>
      </w:r>
      <w:r w:rsidR="00586ADD">
        <w:t>Public and private health expenditure</w:t>
      </w:r>
      <w:r>
        <w:t>: evo</w:t>
      </w:r>
      <w:r w:rsidR="00D448D6">
        <w:t>lution over time and country-level characteristics</w:t>
      </w:r>
      <w:r>
        <w:t xml:space="preserve"> </w:t>
      </w:r>
    </w:p>
    <w:p w14:paraId="68D920D9" w14:textId="77777777" w:rsidR="004A3D3B" w:rsidRDefault="004A3D3B">
      <w:pPr>
        <w:spacing w:line="240" w:lineRule="exact"/>
      </w:pPr>
      <w:r>
        <w:t xml:space="preserve">a2) </w:t>
      </w:r>
      <w:r w:rsidR="00C306ED">
        <w:t>R</w:t>
      </w:r>
      <w:r w:rsidR="00D448D6">
        <w:t>easons for public sector intervention</w:t>
      </w:r>
      <w:r w:rsidR="00C306ED">
        <w:t>: efficie</w:t>
      </w:r>
      <w:r w:rsidR="00D448D6">
        <w:t>ncy and equity</w:t>
      </w:r>
    </w:p>
    <w:p w14:paraId="3795A84D" w14:textId="53582C70" w:rsidR="00C306ED" w:rsidRDefault="00C306ED">
      <w:pPr>
        <w:spacing w:line="240" w:lineRule="exact"/>
      </w:pPr>
      <w:r>
        <w:t xml:space="preserve">a3) </w:t>
      </w:r>
      <w:r w:rsidR="00D448D6">
        <w:t>Private and public health systems</w:t>
      </w:r>
      <w:r w:rsidR="00601A6D">
        <w:t>; f</w:t>
      </w:r>
      <w:r w:rsidR="008B3A04">
        <w:t>inancing and production of services</w:t>
      </w:r>
    </w:p>
    <w:p w14:paraId="03666586" w14:textId="77777777" w:rsidR="004A3D3B" w:rsidRDefault="00C306ED" w:rsidP="004F2D76">
      <w:pPr>
        <w:spacing w:before="120" w:line="240" w:lineRule="exact"/>
      </w:pPr>
      <w:r>
        <w:lastRenderedPageBreak/>
        <w:t xml:space="preserve">B) </w:t>
      </w:r>
      <w:r w:rsidR="002D084E" w:rsidRPr="002D084E">
        <w:rPr>
          <w:smallCaps/>
          <w:sz w:val="16"/>
          <w:szCs w:val="16"/>
        </w:rPr>
        <w:t>HEALTH</w:t>
      </w:r>
      <w:r w:rsidRPr="00601A6D">
        <w:rPr>
          <w:smallCaps/>
        </w:rPr>
        <w:t>,</w:t>
      </w:r>
      <w:r w:rsidR="00BB473F">
        <w:rPr>
          <w:smallCaps/>
        </w:rPr>
        <w:t xml:space="preserve"> health determinants, </w:t>
      </w:r>
      <w:r w:rsidR="00D448D6">
        <w:rPr>
          <w:smallCaps/>
        </w:rPr>
        <w:t>demand for health services</w:t>
      </w:r>
      <w:r w:rsidRPr="00601A6D">
        <w:rPr>
          <w:smallCaps/>
        </w:rPr>
        <w:t xml:space="preserve"> </w:t>
      </w:r>
    </w:p>
    <w:p w14:paraId="0A51671A" w14:textId="77777777" w:rsidR="00BE7105" w:rsidRDefault="00C306ED">
      <w:pPr>
        <w:spacing w:line="240" w:lineRule="exact"/>
      </w:pPr>
      <w:r>
        <w:t xml:space="preserve">b1) </w:t>
      </w:r>
      <w:r w:rsidR="008B3A04">
        <w:t>Measures of health status</w:t>
      </w:r>
      <w:r w:rsidR="00BE7105">
        <w:t>, evolu</w:t>
      </w:r>
      <w:r w:rsidR="00305C1B">
        <w:t>tion of life expectancy</w:t>
      </w:r>
      <w:r w:rsidR="00BE7105">
        <w:t xml:space="preserve">, </w:t>
      </w:r>
      <w:r w:rsidR="00305C1B">
        <w:t>the health production function</w:t>
      </w:r>
      <w:r w:rsidR="00BE7105">
        <w:t>.</w:t>
      </w:r>
    </w:p>
    <w:p w14:paraId="6FED045E" w14:textId="77777777" w:rsidR="00C306ED" w:rsidRDefault="00074757">
      <w:pPr>
        <w:spacing w:line="240" w:lineRule="exact"/>
      </w:pPr>
      <w:r>
        <w:t>b</w:t>
      </w:r>
      <w:r w:rsidR="00693A48">
        <w:t>2</w:t>
      </w:r>
      <w:r>
        <w:t xml:space="preserve">) </w:t>
      </w:r>
      <w:r w:rsidR="00C306ED">
        <w:t>Grossman</w:t>
      </w:r>
      <w:r w:rsidR="00BB473F">
        <w:t>’s basic model</w:t>
      </w:r>
      <w:r w:rsidR="00C306ED">
        <w:t xml:space="preserve"> (1972)</w:t>
      </w:r>
    </w:p>
    <w:p w14:paraId="72CD85A1" w14:textId="77777777" w:rsidR="00C306ED" w:rsidRDefault="00C306ED">
      <w:pPr>
        <w:spacing w:line="240" w:lineRule="exact"/>
      </w:pPr>
      <w:r>
        <w:t>b</w:t>
      </w:r>
      <w:r w:rsidR="00693A48">
        <w:t>3</w:t>
      </w:r>
      <w:r>
        <w:t>)</w:t>
      </w:r>
      <w:r w:rsidR="00BB473F">
        <w:t xml:space="preserve"> Health determinants</w:t>
      </w:r>
      <w:r>
        <w:t xml:space="preserve">, </w:t>
      </w:r>
      <w:r w:rsidR="00BB473F">
        <w:t>focusing on social determinants</w:t>
      </w:r>
      <w:r w:rsidR="00601A6D">
        <w:t xml:space="preserve"> (</w:t>
      </w:r>
      <w:r w:rsidR="00BB473F">
        <w:t>education</w:t>
      </w:r>
      <w:r w:rsidR="00601A6D">
        <w:t>, povert</w:t>
      </w:r>
      <w:r w:rsidR="00BB473F">
        <w:t>y</w:t>
      </w:r>
      <w:r w:rsidR="00601A6D">
        <w:t>, …</w:t>
      </w:r>
      <w:r>
        <w:t>)</w:t>
      </w:r>
    </w:p>
    <w:p w14:paraId="102C9081" w14:textId="78ADB23B" w:rsidR="004A3D3B" w:rsidRDefault="00CC2462">
      <w:pPr>
        <w:spacing w:line="240" w:lineRule="exact"/>
      </w:pPr>
      <w:r>
        <w:t xml:space="preserve">b4) </w:t>
      </w:r>
      <w:r w:rsidR="00BB473F">
        <w:t>Demand for health services</w:t>
      </w:r>
      <w:r>
        <w:t>.</w:t>
      </w:r>
    </w:p>
    <w:p w14:paraId="18B06275" w14:textId="77777777" w:rsidR="00C306ED" w:rsidRDefault="00C306ED" w:rsidP="004F2D76">
      <w:pPr>
        <w:spacing w:before="120" w:line="240" w:lineRule="exact"/>
      </w:pPr>
      <w:r>
        <w:t xml:space="preserve">C) </w:t>
      </w:r>
      <w:r w:rsidR="009F458E">
        <w:rPr>
          <w:smallCaps/>
        </w:rPr>
        <w:t xml:space="preserve">the </w:t>
      </w:r>
      <w:r w:rsidR="00D55A82">
        <w:rPr>
          <w:smallCaps/>
        </w:rPr>
        <w:t>industrial</w:t>
      </w:r>
      <w:r w:rsidR="009F458E">
        <w:rPr>
          <w:smallCaps/>
        </w:rPr>
        <w:t xml:space="preserve"> organisation of the health services market</w:t>
      </w:r>
    </w:p>
    <w:p w14:paraId="41BDE1D2" w14:textId="77777777" w:rsidR="00C306ED" w:rsidRDefault="00C306ED" w:rsidP="00886B27">
      <w:pPr>
        <w:spacing w:line="240" w:lineRule="exact"/>
      </w:pPr>
      <w:r>
        <w:t xml:space="preserve">c1) </w:t>
      </w:r>
      <w:r w:rsidR="009F458E">
        <w:t>Health services markets</w:t>
      </w:r>
    </w:p>
    <w:p w14:paraId="2C8CFB6C" w14:textId="77777777" w:rsidR="00C306ED" w:rsidRDefault="00C306ED" w:rsidP="00886B27">
      <w:pPr>
        <w:spacing w:line="240" w:lineRule="exact"/>
      </w:pPr>
      <w:r>
        <w:t>c2)</w:t>
      </w:r>
      <w:r w:rsidR="009F458E">
        <w:t xml:space="preserve"> Hospital ownership</w:t>
      </w:r>
      <w:r>
        <w:t>: pub</w:t>
      </w:r>
      <w:r w:rsidR="009F458E">
        <w:t>lic</w:t>
      </w:r>
      <w:r>
        <w:t>, privat</w:t>
      </w:r>
      <w:r w:rsidR="009F458E">
        <w:t>e</w:t>
      </w:r>
      <w:r>
        <w:t xml:space="preserve"> nonprofit </w:t>
      </w:r>
      <w:r w:rsidR="009F458E">
        <w:t xml:space="preserve">and </w:t>
      </w:r>
      <w:r>
        <w:t>for-profit</w:t>
      </w:r>
    </w:p>
    <w:p w14:paraId="379638AC" w14:textId="77777777" w:rsidR="00C306ED" w:rsidRDefault="008B3A04" w:rsidP="00886B27">
      <w:pPr>
        <w:spacing w:line="240" w:lineRule="exact"/>
      </w:pPr>
      <w:r>
        <w:t xml:space="preserve">c3) </w:t>
      </w:r>
      <w:r w:rsidR="005066B9">
        <w:t>Hybrid organisational forms</w:t>
      </w:r>
      <w:r w:rsidR="006E76A8">
        <w:t xml:space="preserve"> </w:t>
      </w:r>
      <w:r w:rsidR="005066B9">
        <w:t>and specific market forms</w:t>
      </w:r>
      <w:r w:rsidR="00C306ED">
        <w:t xml:space="preserve"> (</w:t>
      </w:r>
      <w:r w:rsidR="005066B9">
        <w:t>mixed oligopolies</w:t>
      </w:r>
      <w:r w:rsidR="00C306ED">
        <w:t>)</w:t>
      </w:r>
    </w:p>
    <w:p w14:paraId="1909018B" w14:textId="77777777" w:rsidR="00C306ED" w:rsidRDefault="00C306ED" w:rsidP="00886B27">
      <w:pPr>
        <w:spacing w:line="240" w:lineRule="exact"/>
      </w:pPr>
      <w:r>
        <w:t>c4) Quasi-m</w:t>
      </w:r>
      <w:r w:rsidR="00FE7F40">
        <w:t>arkets</w:t>
      </w:r>
      <w:r>
        <w:t>,</w:t>
      </w:r>
      <w:r w:rsidR="00FE7F40">
        <w:t xml:space="preserve"> incentives and hospital behaviour</w:t>
      </w:r>
    </w:p>
    <w:p w14:paraId="7DF6AD97" w14:textId="3A9B70B4" w:rsidR="00C306ED" w:rsidRDefault="00601A6D" w:rsidP="00886B27">
      <w:pPr>
        <w:spacing w:line="240" w:lineRule="exact"/>
      </w:pPr>
      <w:r>
        <w:t xml:space="preserve">c5) </w:t>
      </w:r>
      <w:r w:rsidR="00E94E00">
        <w:t>Q</w:t>
      </w:r>
      <w:r>
        <w:t>uasi-m</w:t>
      </w:r>
      <w:r w:rsidR="00E94E00">
        <w:t>arkets and the corporatisation of the National Health Service</w:t>
      </w:r>
    </w:p>
    <w:p w14:paraId="7B6E7629" w14:textId="77777777" w:rsidR="00C306ED" w:rsidRDefault="00C306ED" w:rsidP="004F2D76">
      <w:pPr>
        <w:spacing w:before="120" w:line="240" w:lineRule="exact"/>
        <w:rPr>
          <w:smallCaps/>
        </w:rPr>
      </w:pPr>
      <w:r>
        <w:t xml:space="preserve">D) </w:t>
      </w:r>
      <w:r w:rsidR="004A3D3B" w:rsidRPr="00601A6D">
        <w:rPr>
          <w:smallCaps/>
        </w:rPr>
        <w:t>decentra</w:t>
      </w:r>
      <w:r w:rsidR="005305B8">
        <w:rPr>
          <w:smallCaps/>
        </w:rPr>
        <w:t>lisation of health policy</w:t>
      </w:r>
      <w:r w:rsidR="004A3D3B" w:rsidRPr="00601A6D">
        <w:rPr>
          <w:smallCaps/>
        </w:rPr>
        <w:t xml:space="preserve"> </w:t>
      </w:r>
    </w:p>
    <w:p w14:paraId="57B7E9EB" w14:textId="77777777" w:rsidR="00C306ED" w:rsidRDefault="00C306ED" w:rsidP="00886B27">
      <w:pPr>
        <w:spacing w:line="240" w:lineRule="exact"/>
      </w:pPr>
      <w:r w:rsidRPr="00601A6D">
        <w:t xml:space="preserve">d1) </w:t>
      </w:r>
      <w:r w:rsidR="00300B69">
        <w:t xml:space="preserve">Administrative, functional and fiscal decentralisation, with a focus on </w:t>
      </w:r>
      <w:r w:rsidR="00714067">
        <w:t>Regional Health Services in Italy</w:t>
      </w:r>
    </w:p>
    <w:p w14:paraId="4595D348" w14:textId="77777777" w:rsidR="00FC37AE" w:rsidRDefault="00FC37AE" w:rsidP="00886B27">
      <w:pPr>
        <w:spacing w:line="240" w:lineRule="exact"/>
      </w:pPr>
      <w:r>
        <w:t xml:space="preserve">d2) </w:t>
      </w:r>
      <w:r w:rsidRPr="006E76A8">
        <w:t>Soft</w:t>
      </w:r>
      <w:r w:rsidR="00DE648E" w:rsidRPr="006E76A8">
        <w:t xml:space="preserve"> </w:t>
      </w:r>
      <w:r w:rsidRPr="006E76A8">
        <w:t>budget constraint</w:t>
      </w:r>
      <w:r>
        <w:t xml:space="preserve"> </w:t>
      </w:r>
      <w:r w:rsidR="00590DCE">
        <w:t xml:space="preserve">and expectations on the coverage of </w:t>
      </w:r>
      <w:r w:rsidR="006E76A8">
        <w:t>deficits</w:t>
      </w:r>
    </w:p>
    <w:p w14:paraId="1FD7551D" w14:textId="4785CC6E" w:rsidR="00FC37AE" w:rsidRDefault="00FC37AE" w:rsidP="00886B27">
      <w:pPr>
        <w:spacing w:line="240" w:lineRule="exact"/>
      </w:pPr>
      <w:r>
        <w:t xml:space="preserve">d3) </w:t>
      </w:r>
      <w:r w:rsidR="009E7237">
        <w:t>R</w:t>
      </w:r>
      <w:r w:rsidR="00555E37">
        <w:t>ecovery plans and administrative control</w:t>
      </w:r>
      <w:r>
        <w:t xml:space="preserve"> </w:t>
      </w:r>
    </w:p>
    <w:p w14:paraId="5E9F8954" w14:textId="783F7930" w:rsidR="00C306ED" w:rsidRDefault="00FC37AE" w:rsidP="00886B27">
      <w:pPr>
        <w:spacing w:line="240" w:lineRule="exact"/>
      </w:pPr>
      <w:r>
        <w:t>d4) Decentra</w:t>
      </w:r>
      <w:r w:rsidR="009E7237">
        <w:t>lisati</w:t>
      </w:r>
      <w:r w:rsidR="00555E37">
        <w:t xml:space="preserve">on and </w:t>
      </w:r>
      <w:r w:rsidR="009E7237">
        <w:t>the pandemic</w:t>
      </w:r>
    </w:p>
    <w:p w14:paraId="296435F5" w14:textId="77777777" w:rsidR="00FC37AE" w:rsidRPr="00601A6D" w:rsidRDefault="00FC37AE" w:rsidP="004F2D76">
      <w:pPr>
        <w:spacing w:before="120" w:line="240" w:lineRule="exact"/>
        <w:rPr>
          <w:smallCaps/>
        </w:rPr>
      </w:pPr>
      <w:r>
        <w:t xml:space="preserve">E) </w:t>
      </w:r>
      <w:r w:rsidRPr="00601A6D">
        <w:rPr>
          <w:smallCaps/>
        </w:rPr>
        <w:t>Efficie</w:t>
      </w:r>
      <w:r w:rsidR="00555E37">
        <w:rPr>
          <w:smallCaps/>
        </w:rPr>
        <w:t xml:space="preserve">ncy and </w:t>
      </w:r>
      <w:r w:rsidR="002D084E" w:rsidRPr="002D084E">
        <w:rPr>
          <w:smallCaps/>
          <w:sz w:val="16"/>
          <w:szCs w:val="16"/>
        </w:rPr>
        <w:t>APPROPRIATENESS OF HEALTH SERVICES</w:t>
      </w:r>
      <w:r w:rsidRPr="00601A6D">
        <w:rPr>
          <w:smallCaps/>
        </w:rPr>
        <w:t xml:space="preserve"> </w:t>
      </w:r>
    </w:p>
    <w:p w14:paraId="0476B4B3" w14:textId="77777777" w:rsidR="00FC37AE" w:rsidRDefault="00FC37AE" w:rsidP="00886B27">
      <w:pPr>
        <w:spacing w:line="240" w:lineRule="exact"/>
      </w:pPr>
      <w:r w:rsidRPr="00601A6D">
        <w:t xml:space="preserve">e1) </w:t>
      </w:r>
      <w:r w:rsidR="009E7237">
        <w:t>B</w:t>
      </w:r>
      <w:r w:rsidR="00601A6D" w:rsidRPr="009E7237">
        <w:t>enchmarking</w:t>
      </w:r>
      <w:r w:rsidR="009E7237">
        <w:t xml:space="preserve"> of expenditure, output (health services) and</w:t>
      </w:r>
      <w:r w:rsidR="00601A6D">
        <w:t xml:space="preserve"> </w:t>
      </w:r>
      <w:r w:rsidR="00601A6D" w:rsidRPr="009E7237">
        <w:t>outcome</w:t>
      </w:r>
      <w:r w:rsidR="009E7237" w:rsidRPr="009E7237">
        <w:t xml:space="preserve"> </w:t>
      </w:r>
      <w:r w:rsidR="009E7237">
        <w:t>(health</w:t>
      </w:r>
      <w:r w:rsidR="00601A6D">
        <w:t>)</w:t>
      </w:r>
    </w:p>
    <w:p w14:paraId="58FEEF72" w14:textId="77777777" w:rsidR="00FC37AE" w:rsidRDefault="00FC37AE" w:rsidP="00886B27">
      <w:pPr>
        <w:spacing w:line="240" w:lineRule="exact"/>
      </w:pPr>
      <w:r>
        <w:t xml:space="preserve">e2) </w:t>
      </w:r>
      <w:r w:rsidR="009E7237">
        <w:t>How to eval</w:t>
      </w:r>
      <w:r w:rsidR="00555E37">
        <w:t>uate the efficiency of health services at different levels</w:t>
      </w:r>
    </w:p>
    <w:p w14:paraId="4734E000" w14:textId="77777777" w:rsidR="00FC37AE" w:rsidRPr="00FC37AE" w:rsidRDefault="00FC37AE" w:rsidP="00886B27">
      <w:pPr>
        <w:spacing w:line="240" w:lineRule="exact"/>
      </w:pPr>
      <w:r>
        <w:t xml:space="preserve">e3) </w:t>
      </w:r>
      <w:r w:rsidR="00555E37">
        <w:t xml:space="preserve">Determinants of </w:t>
      </w:r>
      <w:r w:rsidR="00DE648E">
        <w:t>appropriateness</w:t>
      </w:r>
      <w:r>
        <w:t xml:space="preserve"> (</w:t>
      </w:r>
      <w:r w:rsidR="00DE648E">
        <w:t>with particular reference to the excessive number of caesarean births)</w:t>
      </w:r>
    </w:p>
    <w:p w14:paraId="528235F1" w14:textId="77777777" w:rsidR="009E7237" w:rsidRPr="00297047" w:rsidRDefault="00F55712" w:rsidP="00D271FA">
      <w:pPr>
        <w:pStyle w:val="Testo1"/>
        <w:rPr>
          <w:b/>
          <w:i/>
          <w:lang w:val="en-US"/>
        </w:rPr>
      </w:pPr>
      <w:r w:rsidRPr="00297047">
        <w:rPr>
          <w:b/>
          <w:i/>
          <w:lang w:val="en-US"/>
        </w:rPr>
        <w:t>READING LIST</w:t>
      </w:r>
    </w:p>
    <w:p w14:paraId="685C4580" w14:textId="77777777" w:rsidR="00D271FA" w:rsidRPr="00297047" w:rsidRDefault="00736B64" w:rsidP="00D271FA">
      <w:pPr>
        <w:pStyle w:val="Testo1"/>
        <w:rPr>
          <w:lang w:val="en-US"/>
        </w:rPr>
      </w:pPr>
      <w:r w:rsidRPr="00297047">
        <w:rPr>
          <w:lang w:val="en-US"/>
        </w:rPr>
        <w:t>The general content of course topics can be found in the following volumes</w:t>
      </w:r>
      <w:r w:rsidR="00D271FA" w:rsidRPr="00297047">
        <w:rPr>
          <w:lang w:val="en-US"/>
        </w:rPr>
        <w:t>:</w:t>
      </w:r>
    </w:p>
    <w:p w14:paraId="36E32F5E" w14:textId="77777777" w:rsidR="00D271FA" w:rsidRDefault="00D271FA" w:rsidP="009E7237">
      <w:pPr>
        <w:pStyle w:val="Testo1"/>
        <w:spacing w:before="0" w:line="240" w:lineRule="atLeast"/>
        <w:ind w:left="0" w:firstLine="0"/>
        <w:rPr>
          <w:spacing w:val="-5"/>
          <w:lang w:val="en-US"/>
        </w:rPr>
      </w:pPr>
      <w:r w:rsidRPr="00886B27">
        <w:rPr>
          <w:smallCaps/>
          <w:spacing w:val="-5"/>
          <w:sz w:val="16"/>
          <w:lang w:val="en-US"/>
        </w:rPr>
        <w:t>Folland-Sherman-Allen-C. Goodman-Stano Miron,</w:t>
      </w:r>
      <w:r w:rsidRPr="00886B27">
        <w:rPr>
          <w:i/>
          <w:spacing w:val="-5"/>
          <w:lang w:val="en-US"/>
        </w:rPr>
        <w:t xml:space="preserve"> The Economics of Health and Health Care,</w:t>
      </w:r>
      <w:r w:rsidRPr="00886B27">
        <w:rPr>
          <w:spacing w:val="-5"/>
          <w:lang w:val="en-US"/>
        </w:rPr>
        <w:t xml:space="preserve"> Pearson Prentice Hall, Upper Saddle River (4th, 5th or 6th edition).</w:t>
      </w:r>
    </w:p>
    <w:p w14:paraId="449D0A41" w14:textId="77777777" w:rsidR="00FC37AE" w:rsidRPr="00297047" w:rsidRDefault="00FC37AE" w:rsidP="00FC37AE">
      <w:pPr>
        <w:pStyle w:val="Testo1"/>
        <w:spacing w:before="0" w:line="240" w:lineRule="atLeast"/>
        <w:rPr>
          <w:spacing w:val="-5"/>
          <w:lang w:val="en-US"/>
        </w:rPr>
      </w:pPr>
      <w:r w:rsidRPr="00601A6D">
        <w:rPr>
          <w:smallCaps/>
          <w:spacing w:val="-5"/>
          <w:sz w:val="16"/>
        </w:rPr>
        <w:t>Costa-Font, J., Turati, G., Batinti, A.</w:t>
      </w:r>
      <w:r>
        <w:t xml:space="preserve"> (2020). </w:t>
      </w:r>
      <w:r w:rsidRPr="00601A6D">
        <w:rPr>
          <w:i/>
          <w:iCs/>
          <w:lang w:val="en-GB"/>
        </w:rPr>
        <w:t>The Political Economy of Health and Healthcare: The Rise of the Patient Citizen</w:t>
      </w:r>
      <w:r w:rsidRPr="00601A6D">
        <w:rPr>
          <w:lang w:val="en-GB"/>
        </w:rPr>
        <w:t xml:space="preserve">. </w:t>
      </w:r>
      <w:r w:rsidRPr="00297047">
        <w:rPr>
          <w:lang w:val="en-US"/>
        </w:rPr>
        <w:t>Cambridge: Cambridge University Press.</w:t>
      </w:r>
    </w:p>
    <w:p w14:paraId="579F4909" w14:textId="77777777" w:rsidR="00D271FA" w:rsidRPr="00297047" w:rsidRDefault="008F505C" w:rsidP="00D271FA">
      <w:pPr>
        <w:pStyle w:val="Testo1"/>
        <w:rPr>
          <w:lang w:val="en-US"/>
        </w:rPr>
      </w:pPr>
      <w:r w:rsidRPr="00297047">
        <w:rPr>
          <w:lang w:val="en-US"/>
        </w:rPr>
        <w:t>More detailed information on scientific articles and</w:t>
      </w:r>
      <w:r w:rsidR="00ED010D" w:rsidRPr="00297047">
        <w:rPr>
          <w:lang w:val="en-US"/>
        </w:rPr>
        <w:t xml:space="preserve"> on </w:t>
      </w:r>
      <w:r w:rsidRPr="00297047">
        <w:rPr>
          <w:lang w:val="en-US"/>
        </w:rPr>
        <w:t>material</w:t>
      </w:r>
      <w:r w:rsidR="00ED010D" w:rsidRPr="00297047">
        <w:rPr>
          <w:lang w:val="en-US"/>
        </w:rPr>
        <w:t>s</w:t>
      </w:r>
      <w:r w:rsidRPr="00297047">
        <w:rPr>
          <w:lang w:val="en-US"/>
        </w:rPr>
        <w:t xml:space="preserve"> for in-depth study used during</w:t>
      </w:r>
      <w:r w:rsidR="009E7237" w:rsidRPr="00297047">
        <w:rPr>
          <w:lang w:val="en-US"/>
        </w:rPr>
        <w:t xml:space="preserve"> the course will be displayed on</w:t>
      </w:r>
      <w:r w:rsidRPr="00297047">
        <w:rPr>
          <w:lang w:val="en-US"/>
        </w:rPr>
        <w:t xml:space="preserve"> the course </w:t>
      </w:r>
      <w:r w:rsidR="00D271FA" w:rsidRPr="00297047">
        <w:rPr>
          <w:lang w:val="en-US"/>
        </w:rPr>
        <w:t xml:space="preserve">Blackboard </w:t>
      </w:r>
      <w:r w:rsidRPr="00297047">
        <w:rPr>
          <w:lang w:val="en-US"/>
        </w:rPr>
        <w:t>page</w:t>
      </w:r>
      <w:r w:rsidR="00D271FA" w:rsidRPr="00297047">
        <w:rPr>
          <w:lang w:val="en-US"/>
        </w:rPr>
        <w:t>.</w:t>
      </w:r>
    </w:p>
    <w:p w14:paraId="6A055635" w14:textId="77777777" w:rsidR="009E7237" w:rsidRPr="00297047" w:rsidRDefault="00F55712" w:rsidP="004F2D76">
      <w:pPr>
        <w:pStyle w:val="Testo2"/>
        <w:spacing w:before="240" w:after="120"/>
        <w:ind w:firstLine="0"/>
        <w:rPr>
          <w:b/>
          <w:i/>
          <w:lang w:val="en-US"/>
        </w:rPr>
      </w:pPr>
      <w:r w:rsidRPr="00297047">
        <w:rPr>
          <w:b/>
          <w:i/>
          <w:lang w:val="en-US"/>
        </w:rPr>
        <w:t>TEACHING METHOD</w:t>
      </w:r>
    </w:p>
    <w:p w14:paraId="69C9250A" w14:textId="77777777" w:rsidR="00D271FA" w:rsidRPr="00297047" w:rsidRDefault="00C016B6" w:rsidP="00D271FA">
      <w:pPr>
        <w:pStyle w:val="Testo2"/>
        <w:rPr>
          <w:lang w:val="en-US"/>
        </w:rPr>
      </w:pPr>
      <w:r w:rsidRPr="00297047">
        <w:rPr>
          <w:lang w:val="en-US"/>
        </w:rPr>
        <w:t xml:space="preserve">Frontal lectures. </w:t>
      </w:r>
    </w:p>
    <w:p w14:paraId="649EDF26" w14:textId="77777777" w:rsidR="00D271FA" w:rsidRDefault="00F55712" w:rsidP="00D271FA">
      <w:pPr>
        <w:spacing w:before="240" w:after="120"/>
        <w:rPr>
          <w:b/>
          <w:i/>
          <w:sz w:val="18"/>
        </w:rPr>
      </w:pPr>
      <w:r w:rsidRPr="00A0030D">
        <w:rPr>
          <w:b/>
          <w:i/>
          <w:sz w:val="18"/>
          <w:lang w:val="en-US"/>
        </w:rPr>
        <w:t>ASSESSMENT METHOD AND CRITERIA</w:t>
      </w:r>
    </w:p>
    <w:p w14:paraId="3DE3B1EF" w14:textId="77777777" w:rsidR="00287713" w:rsidRPr="00297047" w:rsidRDefault="009E7237" w:rsidP="00D271FA">
      <w:pPr>
        <w:pStyle w:val="Testo2"/>
        <w:rPr>
          <w:lang w:val="en-US"/>
        </w:rPr>
      </w:pPr>
      <w:r w:rsidRPr="00297047">
        <w:rPr>
          <w:lang w:val="en-US"/>
        </w:rPr>
        <w:lastRenderedPageBreak/>
        <w:t>S</w:t>
      </w:r>
      <w:r w:rsidR="00C016B6" w:rsidRPr="00297047">
        <w:rPr>
          <w:lang w:val="en-US"/>
        </w:rPr>
        <w:t>tudents will be assessed on the basis of a written exam divided in three parts.</w:t>
      </w:r>
      <w:r w:rsidRPr="00297047">
        <w:rPr>
          <w:lang w:val="en-US"/>
        </w:rPr>
        <w:t xml:space="preserve"> </w:t>
      </w:r>
      <w:r w:rsidR="00A46E25" w:rsidRPr="00297047">
        <w:rPr>
          <w:lang w:val="en-US"/>
        </w:rPr>
        <w:t xml:space="preserve">The maximum number of marks </w:t>
      </w:r>
      <w:r w:rsidR="00323D64" w:rsidRPr="00297047">
        <w:rPr>
          <w:lang w:val="en-US"/>
        </w:rPr>
        <w:t xml:space="preserve">awarded </w:t>
      </w:r>
      <w:r w:rsidR="00A46E25" w:rsidRPr="00297047">
        <w:rPr>
          <w:lang w:val="en-US"/>
        </w:rPr>
        <w:t>for the first part is 10, and it consists i</w:t>
      </w:r>
      <w:r w:rsidRPr="00297047">
        <w:rPr>
          <w:lang w:val="en-US"/>
        </w:rPr>
        <w:t xml:space="preserve">n ten multiple choice questions, </w:t>
      </w:r>
      <w:r w:rsidR="00A4781C" w:rsidRPr="00297047">
        <w:rPr>
          <w:lang w:val="en-US"/>
        </w:rPr>
        <w:t>designed to assess students’ knowledge of the conee</w:t>
      </w:r>
      <w:r w:rsidRPr="00297047">
        <w:rPr>
          <w:lang w:val="en-US"/>
        </w:rPr>
        <w:t>pt</w:t>
      </w:r>
      <w:r w:rsidR="00A4781C" w:rsidRPr="00297047">
        <w:rPr>
          <w:lang w:val="en-US"/>
        </w:rPr>
        <w:t>s and basic definitio</w:t>
      </w:r>
      <w:r w:rsidRPr="00297047">
        <w:rPr>
          <w:lang w:val="en-US"/>
        </w:rPr>
        <w:t>ns discussed during the course</w:t>
      </w:r>
      <w:r w:rsidR="00287713" w:rsidRPr="00297047">
        <w:rPr>
          <w:lang w:val="en-US"/>
        </w:rPr>
        <w:t xml:space="preserve">: </w:t>
      </w:r>
      <w:r w:rsidR="003906FB" w:rsidRPr="00297047">
        <w:rPr>
          <w:lang w:val="en-US"/>
        </w:rPr>
        <w:t xml:space="preserve">one point will be awarded for each correct answer, wrong answers will be marked down by </w:t>
      </w:r>
      <w:r w:rsidR="00287713" w:rsidRPr="00297047">
        <w:rPr>
          <w:lang w:val="en-US"/>
        </w:rPr>
        <w:t>0</w:t>
      </w:r>
      <w:r w:rsidR="003906FB" w:rsidRPr="00297047">
        <w:rPr>
          <w:lang w:val="en-US"/>
        </w:rPr>
        <w:t>.</w:t>
      </w:r>
      <w:r w:rsidR="00287713" w:rsidRPr="00297047">
        <w:rPr>
          <w:lang w:val="en-US"/>
        </w:rPr>
        <w:t>5 p</w:t>
      </w:r>
      <w:r w:rsidR="003906FB" w:rsidRPr="00297047">
        <w:rPr>
          <w:lang w:val="en-US"/>
        </w:rPr>
        <w:t>oints</w:t>
      </w:r>
      <w:r w:rsidR="00287713" w:rsidRPr="00297047">
        <w:rPr>
          <w:lang w:val="en-US"/>
        </w:rPr>
        <w:t xml:space="preserve">. </w:t>
      </w:r>
      <w:r w:rsidR="00BF03A0" w:rsidRPr="00297047">
        <w:rPr>
          <w:lang w:val="en-US"/>
        </w:rPr>
        <w:t>The</w:t>
      </w:r>
      <w:r w:rsidR="00461E51" w:rsidRPr="00297047">
        <w:rPr>
          <w:lang w:val="en-US"/>
        </w:rPr>
        <w:t xml:space="preserve"> maximum number of marks for the second and third parts is 20 each and they consist in semi-open questions that are designed to assess students’ ability to apply the knowledge acquired during the course. The assessment criteria for the questions of the second and third parts will take into account the completeness a</w:t>
      </w:r>
      <w:r w:rsidR="00323D64" w:rsidRPr="00297047">
        <w:rPr>
          <w:lang w:val="en-US"/>
        </w:rPr>
        <w:t xml:space="preserve">nd accuracy of each reply. </w:t>
      </w:r>
      <w:r w:rsidR="00461E51" w:rsidRPr="00297047">
        <w:rPr>
          <w:lang w:val="en-US"/>
        </w:rPr>
        <w:t>The exam will last 60 minutes.</w:t>
      </w:r>
    </w:p>
    <w:p w14:paraId="77772FED" w14:textId="1C2080E8" w:rsidR="00323D64" w:rsidRPr="00297047" w:rsidRDefault="00281BF4" w:rsidP="004F2D76">
      <w:pPr>
        <w:pStyle w:val="Testo2"/>
        <w:rPr>
          <w:lang w:val="en-US"/>
        </w:rPr>
      </w:pPr>
      <w:r w:rsidRPr="00297047">
        <w:rPr>
          <w:lang w:val="en-US"/>
        </w:rPr>
        <w:t>The mark of the written exam may be increased</w:t>
      </w:r>
      <w:r w:rsidR="0091027B" w:rsidRPr="00297047">
        <w:rPr>
          <w:lang w:val="en-US"/>
        </w:rPr>
        <w:t xml:space="preserve"> up to a maximum of 2 points</w:t>
      </w:r>
      <w:r w:rsidR="00323D64" w:rsidRPr="00297047">
        <w:rPr>
          <w:lang w:val="en-US"/>
        </w:rPr>
        <w:t>,</w:t>
      </w:r>
      <w:r w:rsidR="0091027B" w:rsidRPr="00297047">
        <w:rPr>
          <w:lang w:val="en-US"/>
        </w:rPr>
        <w:t xml:space="preserve"> </w:t>
      </w:r>
      <w:r w:rsidR="00323D64" w:rsidRPr="00297047">
        <w:rPr>
          <w:lang w:val="en-US"/>
        </w:rPr>
        <w:t>following</w:t>
      </w:r>
      <w:r w:rsidRPr="00297047">
        <w:rPr>
          <w:lang w:val="en-US"/>
        </w:rPr>
        <w:t xml:space="preserve"> the presentation and discussion of scientific works in the field of health economics prepared by students during the course. </w:t>
      </w:r>
    </w:p>
    <w:p w14:paraId="068C6548" w14:textId="25FE13A2" w:rsidR="00323D64" w:rsidRPr="004F2D76" w:rsidRDefault="00F55712" w:rsidP="004F2D76">
      <w:pPr>
        <w:pStyle w:val="Testo2"/>
        <w:spacing w:before="240" w:after="120"/>
        <w:ind w:firstLine="0"/>
        <w:rPr>
          <w:b/>
          <w:i/>
          <w:lang w:val="en-US"/>
        </w:rPr>
      </w:pPr>
      <w:r w:rsidRPr="00297047">
        <w:rPr>
          <w:b/>
          <w:i/>
          <w:lang w:val="en-US"/>
        </w:rPr>
        <w:t>NOTES AND PREREQUISITES</w:t>
      </w:r>
    </w:p>
    <w:p w14:paraId="53162890" w14:textId="77777777" w:rsidR="00287713" w:rsidRPr="00297047" w:rsidRDefault="003D29D6" w:rsidP="00287713">
      <w:pPr>
        <w:pStyle w:val="Testo2"/>
        <w:rPr>
          <w:i/>
          <w:lang w:val="en-US"/>
        </w:rPr>
      </w:pPr>
      <w:r w:rsidRPr="00297047">
        <w:rPr>
          <w:i/>
          <w:lang w:val="en-US"/>
        </w:rPr>
        <w:t>Notes</w:t>
      </w:r>
    </w:p>
    <w:p w14:paraId="141EF900" w14:textId="77777777" w:rsidR="00287713" w:rsidRPr="00297047" w:rsidRDefault="003D29D6" w:rsidP="00287713">
      <w:pPr>
        <w:pStyle w:val="Testo2"/>
        <w:rPr>
          <w:lang w:val="en-US"/>
        </w:rPr>
      </w:pPr>
      <w:r w:rsidRPr="003D29D6">
        <w:rPr>
          <w:lang w:val="en-GB"/>
        </w:rPr>
        <w:t>Students are strongly advised to attend, even though it is not compulsory</w:t>
      </w:r>
      <w:r w:rsidR="00323D64">
        <w:rPr>
          <w:lang w:val="en-GB"/>
        </w:rPr>
        <w:t>.</w:t>
      </w:r>
      <w:r w:rsidR="00323D64" w:rsidRPr="00297047">
        <w:rPr>
          <w:lang w:val="en-US"/>
        </w:rPr>
        <w:t xml:space="preserve"> </w:t>
      </w:r>
      <w:r w:rsidRPr="00297047">
        <w:rPr>
          <w:lang w:val="en-US"/>
        </w:rPr>
        <w:t xml:space="preserve">More detailed indications on recommended texts and further reading </w:t>
      </w:r>
      <w:r w:rsidR="00C83DB0" w:rsidRPr="00297047">
        <w:rPr>
          <w:lang w:val="en-US"/>
        </w:rPr>
        <w:t>material will be pointed out dur</w:t>
      </w:r>
      <w:r w:rsidRPr="00297047">
        <w:rPr>
          <w:lang w:val="en-US"/>
        </w:rPr>
        <w:t>ing lectur</w:t>
      </w:r>
      <w:r w:rsidR="00C83DB0" w:rsidRPr="00297047">
        <w:rPr>
          <w:lang w:val="en-US"/>
        </w:rPr>
        <w:t>es, through course handouts</w:t>
      </w:r>
      <w:r w:rsidRPr="00297047">
        <w:rPr>
          <w:lang w:val="en-US"/>
        </w:rPr>
        <w:t xml:space="preserve"> that will be made available on </w:t>
      </w:r>
      <w:r w:rsidR="00287713" w:rsidRPr="00297047">
        <w:rPr>
          <w:lang w:val="en-US"/>
        </w:rPr>
        <w:t>Blackboard.</w:t>
      </w:r>
    </w:p>
    <w:p w14:paraId="034342EE" w14:textId="77777777" w:rsidR="00287713" w:rsidRPr="00297047" w:rsidRDefault="00287713" w:rsidP="00287713">
      <w:pPr>
        <w:pStyle w:val="Testo2"/>
        <w:rPr>
          <w:i/>
          <w:lang w:val="en-US"/>
        </w:rPr>
      </w:pPr>
      <w:r w:rsidRPr="00297047">
        <w:rPr>
          <w:i/>
          <w:lang w:val="en-US"/>
        </w:rPr>
        <w:t>Prerequisiti</w:t>
      </w:r>
      <w:r w:rsidR="003D29D6" w:rsidRPr="00297047">
        <w:rPr>
          <w:i/>
          <w:lang w:val="en-US"/>
        </w:rPr>
        <w:t>es</w:t>
      </w:r>
    </w:p>
    <w:p w14:paraId="466B5457" w14:textId="77777777" w:rsidR="00287713" w:rsidRPr="00297047" w:rsidRDefault="00C83DB0">
      <w:pPr>
        <w:pStyle w:val="Testo2"/>
        <w:rPr>
          <w:lang w:val="en-US"/>
        </w:rPr>
      </w:pPr>
      <w:r w:rsidRPr="00297047">
        <w:rPr>
          <w:lang w:val="en-US"/>
        </w:rPr>
        <w:t xml:space="preserve">Before attending the course, students are expected to have acquired knowledge of key microeconomics concepts, </w:t>
      </w:r>
      <w:r w:rsidR="00323D64" w:rsidRPr="00297047">
        <w:rPr>
          <w:lang w:val="en-US"/>
        </w:rPr>
        <w:t xml:space="preserve">as well as some </w:t>
      </w:r>
      <w:r w:rsidRPr="00297047">
        <w:rPr>
          <w:lang w:val="en-US"/>
        </w:rPr>
        <w:t xml:space="preserve">basic concepts of statistical analysis. </w:t>
      </w:r>
    </w:p>
    <w:p w14:paraId="1E8F6A12" w14:textId="77777777" w:rsidR="00DD209C" w:rsidRPr="00983336" w:rsidRDefault="00DD209C" w:rsidP="00DD209C">
      <w:pPr>
        <w:pStyle w:val="Testo2"/>
        <w:rPr>
          <w:lang w:val="en-GB"/>
        </w:rPr>
      </w:pPr>
      <w:r w:rsidRPr="00A53571">
        <w:rPr>
          <w:lang w:val="en-GB"/>
        </w:rPr>
        <w:t>Further information can be found on the lecturer's webpage at http://docenti.unicatt.it/web/searchByName.do?language=ENG, or on the Faculty notice board.</w:t>
      </w:r>
    </w:p>
    <w:p w14:paraId="7EE5048F" w14:textId="77777777" w:rsidR="00287713" w:rsidRPr="00297047" w:rsidRDefault="00287713" w:rsidP="00DD209C">
      <w:pPr>
        <w:pStyle w:val="Testo2"/>
        <w:spacing w:before="120"/>
        <w:rPr>
          <w:lang w:val="en-US"/>
        </w:rPr>
      </w:pPr>
    </w:p>
    <w:sectPr w:rsidR="00287713" w:rsidRPr="0029704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D6E09"/>
    <w:multiLevelType w:val="hybridMultilevel"/>
    <w:tmpl w:val="810631A6"/>
    <w:lvl w:ilvl="0" w:tplc="0410000F">
      <w:start w:val="1"/>
      <w:numFmt w:val="decimal"/>
      <w:lvlText w:val="%1."/>
      <w:lvlJc w:val="left"/>
      <w:pPr>
        <w:ind w:left="720" w:hanging="360"/>
      </w:pPr>
    </w:lvl>
    <w:lvl w:ilvl="1" w:tplc="FFFFFFF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5752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271FA"/>
    <w:rsid w:val="000642E1"/>
    <w:rsid w:val="00074757"/>
    <w:rsid w:val="0012054B"/>
    <w:rsid w:val="00166B4A"/>
    <w:rsid w:val="00187B99"/>
    <w:rsid w:val="001E5581"/>
    <w:rsid w:val="002014DD"/>
    <w:rsid w:val="00265F1B"/>
    <w:rsid w:val="00274836"/>
    <w:rsid w:val="00281BF4"/>
    <w:rsid w:val="00287713"/>
    <w:rsid w:val="00297047"/>
    <w:rsid w:val="002B23A8"/>
    <w:rsid w:val="002D084E"/>
    <w:rsid w:val="002D1898"/>
    <w:rsid w:val="002D2E10"/>
    <w:rsid w:val="002D5E17"/>
    <w:rsid w:val="00300B69"/>
    <w:rsid w:val="003015A0"/>
    <w:rsid w:val="00305C1B"/>
    <w:rsid w:val="00323D64"/>
    <w:rsid w:val="003462C0"/>
    <w:rsid w:val="00362A14"/>
    <w:rsid w:val="003630A2"/>
    <w:rsid w:val="003906FB"/>
    <w:rsid w:val="003D29D6"/>
    <w:rsid w:val="003E001A"/>
    <w:rsid w:val="00406462"/>
    <w:rsid w:val="004101C6"/>
    <w:rsid w:val="00461E51"/>
    <w:rsid w:val="00485139"/>
    <w:rsid w:val="004A3D3B"/>
    <w:rsid w:val="004D1217"/>
    <w:rsid w:val="004D6008"/>
    <w:rsid w:val="004F2D76"/>
    <w:rsid w:val="005066B9"/>
    <w:rsid w:val="005305B8"/>
    <w:rsid w:val="005437E0"/>
    <w:rsid w:val="00547D4E"/>
    <w:rsid w:val="00551527"/>
    <w:rsid w:val="00555E37"/>
    <w:rsid w:val="00586ADD"/>
    <w:rsid w:val="00590DCE"/>
    <w:rsid w:val="005A7868"/>
    <w:rsid w:val="005F296C"/>
    <w:rsid w:val="005F6ACB"/>
    <w:rsid w:val="00601A6D"/>
    <w:rsid w:val="006230DD"/>
    <w:rsid w:val="00640794"/>
    <w:rsid w:val="00673295"/>
    <w:rsid w:val="006936BC"/>
    <w:rsid w:val="00693A48"/>
    <w:rsid w:val="006E76A8"/>
    <w:rsid w:val="006F1772"/>
    <w:rsid w:val="00714067"/>
    <w:rsid w:val="00717FC0"/>
    <w:rsid w:val="00736B64"/>
    <w:rsid w:val="007D28CB"/>
    <w:rsid w:val="0080746E"/>
    <w:rsid w:val="00817725"/>
    <w:rsid w:val="00830943"/>
    <w:rsid w:val="00833B9B"/>
    <w:rsid w:val="00845779"/>
    <w:rsid w:val="00886B27"/>
    <w:rsid w:val="008942E7"/>
    <w:rsid w:val="008A1204"/>
    <w:rsid w:val="008B3A04"/>
    <w:rsid w:val="008F505C"/>
    <w:rsid w:val="00900CCA"/>
    <w:rsid w:val="0091027B"/>
    <w:rsid w:val="00924B77"/>
    <w:rsid w:val="00940DA2"/>
    <w:rsid w:val="009601A2"/>
    <w:rsid w:val="009E055C"/>
    <w:rsid w:val="009E7237"/>
    <w:rsid w:val="009F2E2D"/>
    <w:rsid w:val="009F458E"/>
    <w:rsid w:val="00A46E25"/>
    <w:rsid w:val="00A4781C"/>
    <w:rsid w:val="00A74F6F"/>
    <w:rsid w:val="00AD7557"/>
    <w:rsid w:val="00AF2FF9"/>
    <w:rsid w:val="00B50C5D"/>
    <w:rsid w:val="00B51253"/>
    <w:rsid w:val="00B525CC"/>
    <w:rsid w:val="00B776F6"/>
    <w:rsid w:val="00BB473F"/>
    <w:rsid w:val="00BC4315"/>
    <w:rsid w:val="00BD457B"/>
    <w:rsid w:val="00BD7C6B"/>
    <w:rsid w:val="00BE1E81"/>
    <w:rsid w:val="00BE7105"/>
    <w:rsid w:val="00BF03A0"/>
    <w:rsid w:val="00C016B6"/>
    <w:rsid w:val="00C11B59"/>
    <w:rsid w:val="00C2183A"/>
    <w:rsid w:val="00C218DF"/>
    <w:rsid w:val="00C306ED"/>
    <w:rsid w:val="00C83DB0"/>
    <w:rsid w:val="00CA7CC4"/>
    <w:rsid w:val="00CC2462"/>
    <w:rsid w:val="00CD600A"/>
    <w:rsid w:val="00D01FD1"/>
    <w:rsid w:val="00D271FA"/>
    <w:rsid w:val="00D404F2"/>
    <w:rsid w:val="00D448D6"/>
    <w:rsid w:val="00D55A82"/>
    <w:rsid w:val="00D83B8F"/>
    <w:rsid w:val="00DD209C"/>
    <w:rsid w:val="00DE648E"/>
    <w:rsid w:val="00E607E6"/>
    <w:rsid w:val="00E94E00"/>
    <w:rsid w:val="00ED010D"/>
    <w:rsid w:val="00ED2313"/>
    <w:rsid w:val="00F4606C"/>
    <w:rsid w:val="00F55712"/>
    <w:rsid w:val="00FB1658"/>
    <w:rsid w:val="00FB23DE"/>
    <w:rsid w:val="00FB6835"/>
    <w:rsid w:val="00FC37AE"/>
    <w:rsid w:val="00FE7F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1446F"/>
  <w15:docId w15:val="{CEF8EFB8-E3C8-47D0-94AA-334D099A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271FA"/>
    <w:pPr>
      <w:tabs>
        <w:tab w:val="clear" w:pos="284"/>
      </w:tabs>
      <w:spacing w:line="240" w:lineRule="exact"/>
      <w:ind w:left="720"/>
      <w:contextualSpacing/>
    </w:pPr>
    <w:rPr>
      <w:rFonts w:eastAsia="MS Mincho"/>
    </w:rPr>
  </w:style>
  <w:style w:type="paragraph" w:styleId="Revisione">
    <w:name w:val="Revision"/>
    <w:hidden/>
    <w:uiPriority w:val="99"/>
    <w:semiHidden/>
    <w:rsid w:val="003462C0"/>
    <w:rPr>
      <w:szCs w:val="24"/>
    </w:rPr>
  </w:style>
  <w:style w:type="character" w:styleId="Rimandocommento">
    <w:name w:val="annotation reference"/>
    <w:basedOn w:val="Carpredefinitoparagrafo"/>
    <w:semiHidden/>
    <w:unhideWhenUsed/>
    <w:rsid w:val="0012054B"/>
    <w:rPr>
      <w:sz w:val="16"/>
      <w:szCs w:val="16"/>
    </w:rPr>
  </w:style>
  <w:style w:type="paragraph" w:styleId="Testocommento">
    <w:name w:val="annotation text"/>
    <w:basedOn w:val="Normale"/>
    <w:link w:val="TestocommentoCarattere"/>
    <w:semiHidden/>
    <w:unhideWhenUsed/>
    <w:rsid w:val="0012054B"/>
    <w:pPr>
      <w:spacing w:line="240" w:lineRule="auto"/>
    </w:pPr>
    <w:rPr>
      <w:szCs w:val="20"/>
    </w:rPr>
  </w:style>
  <w:style w:type="character" w:customStyle="1" w:styleId="TestocommentoCarattere">
    <w:name w:val="Testo commento Carattere"/>
    <w:basedOn w:val="Carpredefinitoparagrafo"/>
    <w:link w:val="Testocommento"/>
    <w:semiHidden/>
    <w:rsid w:val="0012054B"/>
  </w:style>
  <w:style w:type="paragraph" w:styleId="Soggettocommento">
    <w:name w:val="annotation subject"/>
    <w:basedOn w:val="Testocommento"/>
    <w:next w:val="Testocommento"/>
    <w:link w:val="SoggettocommentoCarattere"/>
    <w:semiHidden/>
    <w:unhideWhenUsed/>
    <w:rsid w:val="0012054B"/>
    <w:rPr>
      <w:b/>
      <w:bCs/>
    </w:rPr>
  </w:style>
  <w:style w:type="character" w:customStyle="1" w:styleId="SoggettocommentoCarattere">
    <w:name w:val="Soggetto commento Carattere"/>
    <w:basedOn w:val="TestocommentoCarattere"/>
    <w:link w:val="Soggettocommento"/>
    <w:semiHidden/>
    <w:rsid w:val="0012054B"/>
    <w:rPr>
      <w:b/>
      <w:bCs/>
    </w:rPr>
  </w:style>
  <w:style w:type="paragraph" w:styleId="Testofumetto">
    <w:name w:val="Balloon Text"/>
    <w:basedOn w:val="Normale"/>
    <w:link w:val="TestofumettoCarattere"/>
    <w:semiHidden/>
    <w:unhideWhenUsed/>
    <w:rsid w:val="0081772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17725"/>
    <w:rPr>
      <w:rFonts w:ascii="Segoe UI" w:hAnsi="Segoe UI" w:cs="Segoe UI"/>
      <w:sz w:val="18"/>
      <w:szCs w:val="18"/>
    </w:rPr>
  </w:style>
  <w:style w:type="character" w:customStyle="1" w:styleId="Testo2Carattere">
    <w:name w:val="Testo 2 Carattere"/>
    <w:link w:val="Testo2"/>
    <w:locked/>
    <w:rsid w:val="00DD209C"/>
    <w:rPr>
      <w:rFonts w:ascii="Times" w:hAnsi="Times"/>
      <w:noProof/>
      <w:sz w:val="18"/>
    </w:rPr>
  </w:style>
  <w:style w:type="character" w:customStyle="1" w:styleId="Testo1Carattere">
    <w:name w:val="Testo 1 Carattere"/>
    <w:link w:val="Testo1"/>
    <w:rsid w:val="00F55712"/>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198763">
      <w:bodyDiv w:val="1"/>
      <w:marLeft w:val="0"/>
      <w:marRight w:val="0"/>
      <w:marTop w:val="0"/>
      <w:marBottom w:val="0"/>
      <w:divBdr>
        <w:top w:val="none" w:sz="0" w:space="0" w:color="auto"/>
        <w:left w:val="none" w:sz="0" w:space="0" w:color="auto"/>
        <w:bottom w:val="none" w:sz="0" w:space="0" w:color="auto"/>
        <w:right w:val="none" w:sz="0" w:space="0" w:color="auto"/>
      </w:divBdr>
    </w:div>
    <w:div w:id="20134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0541-7CD8-4962-AD9A-865B631E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852</Words>
  <Characters>4859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2003-03-27T10:42:00Z</cp:lastPrinted>
  <dcterms:created xsi:type="dcterms:W3CDTF">2023-07-06T08:49:00Z</dcterms:created>
  <dcterms:modified xsi:type="dcterms:W3CDTF">2024-01-09T15:02:00Z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b4da6cae8b4b4be51f6b1eb109250996b52f797424382028ecaf7410121a9375</vt:lpwstr>
  </property>
</Properties>
</file>