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276E" w14:textId="77777777" w:rsidR="006B2E82" w:rsidRPr="00DF3A04" w:rsidRDefault="006B2E82" w:rsidP="006B2E82">
      <w:pPr>
        <w:tabs>
          <w:tab w:val="clear" w:pos="284"/>
        </w:tabs>
        <w:spacing w:before="480" w:line="240" w:lineRule="exact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Governance per la pubblica amministrazione</w:t>
      </w:r>
    </w:p>
    <w:p w14:paraId="438D8D9D" w14:textId="77777777" w:rsidR="006B2E82" w:rsidRPr="00C352F7" w:rsidRDefault="006B2E82" w:rsidP="006B2E82">
      <w:pPr>
        <w:tabs>
          <w:tab w:val="clear" w:pos="284"/>
        </w:tabs>
        <w:spacing w:line="240" w:lineRule="exact"/>
        <w:ind w:left="0" w:firstLine="0"/>
        <w:outlineLvl w:val="1"/>
        <w:rPr>
          <w:rFonts w:ascii="Times" w:hAnsi="Times"/>
          <w:smallCaps/>
          <w:noProof/>
          <w:sz w:val="18"/>
          <w:szCs w:val="20"/>
        </w:rPr>
      </w:pPr>
      <w:r w:rsidRPr="00C352F7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 xml:space="preserve">Ennio Codini; </w:t>
      </w:r>
      <w:r w:rsidR="0060599C">
        <w:rPr>
          <w:rFonts w:ascii="Times" w:hAnsi="Times"/>
          <w:smallCaps/>
          <w:noProof/>
          <w:sz w:val="18"/>
          <w:szCs w:val="20"/>
        </w:rPr>
        <w:t>Prof. Michele Riccardi</w:t>
      </w:r>
      <w:r>
        <w:rPr>
          <w:rFonts w:ascii="Times" w:hAnsi="Times"/>
          <w:smallCaps/>
          <w:noProof/>
          <w:sz w:val="18"/>
          <w:szCs w:val="20"/>
        </w:rPr>
        <w:t xml:space="preserve">; </w:t>
      </w:r>
      <w:r w:rsidRPr="00DF3A04">
        <w:rPr>
          <w:rFonts w:ascii="Times" w:hAnsi="Times"/>
          <w:smallCaps/>
          <w:noProof/>
          <w:sz w:val="18"/>
          <w:szCs w:val="20"/>
        </w:rPr>
        <w:t>Prof. Giuseppe Garzillo</w:t>
      </w:r>
    </w:p>
    <w:p w14:paraId="287E9408" w14:textId="77777777" w:rsidR="006B2E82" w:rsidRDefault="006B2E82" w:rsidP="006B2E82">
      <w:pPr>
        <w:spacing w:before="240"/>
      </w:pPr>
      <w:r w:rsidRPr="005F45EB">
        <w:rPr>
          <w:smallCaps/>
          <w:sz w:val="18"/>
        </w:rPr>
        <w:t>Modulo I</w:t>
      </w:r>
      <w:r>
        <w:t xml:space="preserve">: </w:t>
      </w:r>
      <w:r>
        <w:rPr>
          <w:i/>
        </w:rPr>
        <w:t>Diritto amministrativ</w:t>
      </w:r>
      <w:r w:rsidRPr="00AB0A32">
        <w:rPr>
          <w:i/>
        </w:rPr>
        <w:t>o</w:t>
      </w:r>
      <w:r>
        <w:t xml:space="preserve"> (Prof. Ennio Codini)</w:t>
      </w:r>
    </w:p>
    <w:p w14:paraId="1B01C223" w14:textId="77777777" w:rsidR="00BF1914" w:rsidRDefault="00BF1914" w:rsidP="00BF19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817A47" w14:textId="77777777" w:rsidR="00BF1914" w:rsidRDefault="00BF1914" w:rsidP="00BF1914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14:paraId="5B3CCD28" w14:textId="77777777" w:rsidR="00BF1914" w:rsidRDefault="00BF1914" w:rsidP="00BF1914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14:paraId="46976FCB" w14:textId="77777777" w:rsidR="00BF1914" w:rsidRDefault="00BF1914" w:rsidP="00BF19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A886AE" w14:textId="77777777" w:rsidR="00BF1914" w:rsidRDefault="00BF1914" w:rsidP="00BF1914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14:paraId="6E438312" w14:textId="49A9CA4A" w:rsidR="00BF1914" w:rsidRDefault="00BF1914" w:rsidP="00BF19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34422">
        <w:rPr>
          <w:rStyle w:val="Rimandonotaapidipagina"/>
          <w:b/>
          <w:i/>
          <w:sz w:val="18"/>
        </w:rPr>
        <w:footnoteReference w:id="1"/>
      </w:r>
    </w:p>
    <w:p w14:paraId="2F083CC8" w14:textId="6A1B9775" w:rsidR="00BF1914" w:rsidRPr="0056361B" w:rsidRDefault="00BF1914" w:rsidP="00BF1914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>
        <w:rPr>
          <w:spacing w:val="-5"/>
        </w:rPr>
        <w:t xml:space="preserve"> </w:t>
      </w:r>
      <w:r w:rsidR="00634422">
        <w:rPr>
          <w:spacing w:val="-5"/>
        </w:rPr>
        <w:t xml:space="preserve"> </w:t>
      </w:r>
      <w:hyperlink r:id="rId9" w:history="1">
        <w:r w:rsidR="00634422" w:rsidRPr="006344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108637" w14:textId="77777777" w:rsidR="00BF1914" w:rsidRDefault="00BF1914" w:rsidP="00BF1914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14:paraId="16F9E9B7" w14:textId="77777777" w:rsidR="00BF1914" w:rsidRDefault="00BF1914" w:rsidP="00BF19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87BD04" w14:textId="77777777" w:rsidR="00BF1914" w:rsidRDefault="00BF1914" w:rsidP="00BF1914">
      <w:pPr>
        <w:pStyle w:val="Testo2"/>
      </w:pPr>
      <w:r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14:paraId="4E6B0A62" w14:textId="77777777" w:rsidR="00BF1914" w:rsidRDefault="00BF1914" w:rsidP="00BF19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7A39D3" w14:textId="77777777" w:rsidR="00BF1914" w:rsidRDefault="00BF1914" w:rsidP="00BF1914">
      <w:pPr>
        <w:pStyle w:val="Testo2"/>
      </w:pPr>
      <w:r w:rsidRPr="00822D0C">
        <w:lastRenderedPageBreak/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14:paraId="1B0946E5" w14:textId="77777777" w:rsidR="00BF1914" w:rsidRDefault="00BF1914" w:rsidP="00BF1914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14:paraId="4DF180C1" w14:textId="77777777" w:rsidR="00BF1914" w:rsidRPr="006943E6" w:rsidRDefault="00BF1914" w:rsidP="00BF1914">
      <w:pPr>
        <w:pStyle w:val="Testo2"/>
        <w:rPr>
          <w:color w:val="000000" w:themeColor="text1"/>
          <w:szCs w:val="18"/>
        </w:rPr>
      </w:pPr>
      <w:r w:rsidRPr="005656BB">
        <w:rPr>
          <w:color w:val="000000" w:themeColor="text1"/>
          <w:szCs w:val="18"/>
        </w:rPr>
        <w:t xml:space="preserve">Nel caso in cui la situazione sanitaria relativa alla pandemia di Covid-19 non dovesse consentire la didattica in presenza, </w:t>
      </w:r>
      <w:r>
        <w:rPr>
          <w:color w:val="000000" w:themeColor="text1"/>
          <w:szCs w:val="18"/>
        </w:rPr>
        <w:t xml:space="preserve">o dovesse comunque imporre a riguardo delle limitazioni, </w:t>
      </w:r>
      <w:r w:rsidRPr="005656BB">
        <w:rPr>
          <w:color w:val="000000" w:themeColor="text1"/>
          <w:szCs w:val="18"/>
        </w:rPr>
        <w:t>sarà garantita l’erogazione a distanza dell’insegnamento con modalità che verranno comunicate in tempo utile agli studenti</w:t>
      </w:r>
      <w:r>
        <w:rPr>
          <w:color w:val="000000" w:themeColor="text1"/>
          <w:szCs w:val="18"/>
        </w:rPr>
        <w:t>.</w:t>
      </w:r>
      <w:r>
        <w:t>.</w:t>
      </w:r>
    </w:p>
    <w:p w14:paraId="44E5437B" w14:textId="77777777" w:rsidR="00BF1914" w:rsidRDefault="00BF1914" w:rsidP="00BF1914">
      <w:pPr>
        <w:pStyle w:val="Testo2"/>
        <w:spacing w:before="240" w:after="120"/>
        <w:rPr>
          <w:b/>
          <w:i/>
        </w:rPr>
      </w:pPr>
      <w:r w:rsidRPr="00BF1914">
        <w:rPr>
          <w:b/>
          <w:i/>
        </w:rPr>
        <w:t>A</w:t>
      </w:r>
      <w:r>
        <w:rPr>
          <w:b/>
          <w:i/>
        </w:rPr>
        <w:t>VVERTENZE E PREREQUISITI</w:t>
      </w:r>
    </w:p>
    <w:p w14:paraId="2A5A9795" w14:textId="77777777" w:rsidR="00BF1914" w:rsidRDefault="00BF1914" w:rsidP="00BF1914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14:paraId="7075F70F" w14:textId="77777777" w:rsidR="00BF1914" w:rsidRPr="009D2798" w:rsidRDefault="00BF1914" w:rsidP="00BF1914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14:paraId="7893E2AC" w14:textId="77777777" w:rsidR="00BF1914" w:rsidRPr="002D5E17" w:rsidRDefault="00BF1914" w:rsidP="00BF1914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p w14:paraId="5C6BD3CC" w14:textId="77777777" w:rsidR="00B65339" w:rsidRDefault="00B65339" w:rsidP="003E67D5">
      <w:pPr>
        <w:spacing w:before="240"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mallCaps/>
          <w:sz w:val="18"/>
          <w:szCs w:val="20"/>
        </w:rPr>
        <w:t>I</w:t>
      </w:r>
      <w:r>
        <w:rPr>
          <w:rFonts w:ascii="Times" w:hAnsi="Times" w:cs="Times"/>
          <w:smallCaps/>
          <w:sz w:val="18"/>
          <w:szCs w:val="20"/>
        </w:rPr>
        <w:t>I</w:t>
      </w:r>
      <w:r w:rsidRPr="009A1CA6">
        <w:rPr>
          <w:rFonts w:ascii="Times" w:hAnsi="Times" w:cs="Times"/>
          <w:smallCaps/>
          <w:sz w:val="18"/>
          <w:szCs w:val="20"/>
        </w:rPr>
        <w:t xml:space="preserve"> Modulo</w:t>
      </w:r>
    </w:p>
    <w:p w14:paraId="2FA927EE" w14:textId="77777777" w:rsidR="00B65339" w:rsidRPr="00801BFA" w:rsidRDefault="00B65339" w:rsidP="00B65339">
      <w:pPr>
        <w:spacing w:line="240" w:lineRule="exact"/>
        <w:ind w:left="0" w:firstLine="0"/>
        <w:rPr>
          <w:iCs/>
        </w:rPr>
      </w:pPr>
      <w:r>
        <w:t xml:space="preserve">Un modulo a scelta tra i seguenti: </w:t>
      </w:r>
      <w:r w:rsidRPr="00801BFA">
        <w:rPr>
          <w:i/>
        </w:rPr>
        <w:t xml:space="preserve">Analysis of </w:t>
      </w:r>
      <w:proofErr w:type="spellStart"/>
      <w:r w:rsidRPr="00801BFA">
        <w:rPr>
          <w:i/>
        </w:rPr>
        <w:t>financial</w:t>
      </w:r>
      <w:proofErr w:type="spellEnd"/>
      <w:r w:rsidRPr="00801BFA">
        <w:rPr>
          <w:i/>
        </w:rPr>
        <w:t xml:space="preserve"> and business information</w:t>
      </w:r>
      <w:r w:rsidRPr="00801BFA">
        <w:t xml:space="preserve"> (Prof. Michele Riccardi) </w:t>
      </w:r>
      <w:r>
        <w:rPr>
          <w:iCs/>
        </w:rPr>
        <w:t xml:space="preserve">oppure </w:t>
      </w:r>
      <w:r w:rsidR="003E67D5" w:rsidRPr="00C74D08">
        <w:rPr>
          <w:rFonts w:ascii="Times" w:hAnsi="Times" w:cs="Times"/>
          <w:i/>
          <w:szCs w:val="20"/>
        </w:rPr>
        <w:t>Governance, Controllo Interno e Compliance</w:t>
      </w:r>
      <w:r w:rsidR="003E67D5" w:rsidRPr="00C74D08">
        <w:rPr>
          <w:rFonts w:ascii="Times" w:hAnsi="Times" w:cs="Times"/>
          <w:szCs w:val="20"/>
        </w:rPr>
        <w:t xml:space="preserve"> </w:t>
      </w:r>
      <w:r w:rsidRPr="009A1CA6">
        <w:rPr>
          <w:rFonts w:ascii="Times" w:hAnsi="Times" w:cs="Times"/>
          <w:szCs w:val="20"/>
        </w:rPr>
        <w:t>(Prof. Giuseppe Garzillo)</w:t>
      </w:r>
    </w:p>
    <w:p w14:paraId="79EE3280" w14:textId="76236A85" w:rsidR="001E464C" w:rsidRPr="00634422" w:rsidRDefault="001E464C" w:rsidP="001E464C">
      <w:pPr>
        <w:spacing w:before="240" w:after="120" w:line="240" w:lineRule="exact"/>
        <w:ind w:left="0" w:firstLine="0"/>
        <w:rPr>
          <w:rFonts w:ascii="Times" w:hAnsi="Times" w:cs="Times"/>
          <w:szCs w:val="20"/>
          <w:lang w:val="en-US"/>
        </w:rPr>
      </w:pPr>
      <w:r w:rsidRPr="00634422">
        <w:rPr>
          <w:rFonts w:ascii="Times" w:hAnsi="Times" w:cs="Times"/>
          <w:smallCaps/>
          <w:sz w:val="18"/>
          <w:szCs w:val="18"/>
          <w:lang w:val="en-US"/>
        </w:rPr>
        <w:t xml:space="preserve">Modulo: </w:t>
      </w:r>
      <w:r w:rsidRPr="00634422">
        <w:rPr>
          <w:rFonts w:ascii="Times" w:hAnsi="Times" w:cs="Times"/>
          <w:i/>
          <w:szCs w:val="20"/>
          <w:lang w:val="en-US"/>
        </w:rPr>
        <w:t xml:space="preserve">Analysis of financial and business information </w:t>
      </w:r>
      <w:r w:rsidRPr="00634422">
        <w:rPr>
          <w:rFonts w:ascii="Times" w:hAnsi="Times" w:cs="Times"/>
          <w:szCs w:val="20"/>
          <w:lang w:val="en-US"/>
        </w:rPr>
        <w:t xml:space="preserve">(Prof. Michele </w:t>
      </w:r>
      <w:proofErr w:type="spellStart"/>
      <w:r w:rsidRPr="00634422">
        <w:rPr>
          <w:rFonts w:ascii="Times" w:hAnsi="Times" w:cs="Times"/>
          <w:szCs w:val="20"/>
          <w:lang w:val="en-US"/>
        </w:rPr>
        <w:t>Riccardi</w:t>
      </w:r>
      <w:proofErr w:type="spellEnd"/>
      <w:r w:rsidRPr="00634422">
        <w:rPr>
          <w:rFonts w:ascii="Times" w:hAnsi="Times" w:cs="Times"/>
          <w:szCs w:val="20"/>
          <w:lang w:val="en-US"/>
        </w:rPr>
        <w:t>)</w:t>
      </w:r>
    </w:p>
    <w:p w14:paraId="42144E70" w14:textId="77777777" w:rsidR="001E464C" w:rsidRDefault="001E464C" w:rsidP="001E464C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011F4EF" w14:textId="77777777" w:rsidR="001E464C" w:rsidRPr="00DF3A04" w:rsidRDefault="001E464C" w:rsidP="001E464C">
      <w:pPr>
        <w:spacing w:line="240" w:lineRule="exact"/>
        <w:ind w:left="0" w:firstLine="0"/>
      </w:pPr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14:paraId="6BEE2AEC" w14:textId="77777777" w:rsidR="001E464C" w:rsidRDefault="001E464C" w:rsidP="001E464C">
      <w:pPr>
        <w:spacing w:line="240" w:lineRule="exact"/>
        <w:ind w:left="0" w:firstLine="0"/>
      </w:pPr>
      <w:r w:rsidRPr="00DF3A04">
        <w:lastRenderedPageBreak/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14:paraId="2AF17F1F" w14:textId="77777777" w:rsidR="001E464C" w:rsidRDefault="001E464C" w:rsidP="001E464C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r w:rsidRPr="00290E3B">
        <w:rPr>
          <w:i/>
        </w:rPr>
        <w:t>red-flag</w:t>
      </w:r>
      <w:r>
        <w:t xml:space="preserve"> a livello contabile e di contesto che possono segnalare attività illecite da parte dell’azienda o rischi di infiltrazione criminale.</w:t>
      </w:r>
    </w:p>
    <w:p w14:paraId="0DA68495" w14:textId="77777777" w:rsidR="001E464C" w:rsidRDefault="001E464C" w:rsidP="001E464C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390412" w14:textId="77777777" w:rsidR="001E464C" w:rsidRDefault="001E464C" w:rsidP="001E464C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14:paraId="4E5E0C5E" w14:textId="77777777" w:rsidR="001E464C" w:rsidRDefault="001E464C" w:rsidP="001E464C">
      <w:pPr>
        <w:spacing w:line="240" w:lineRule="exact"/>
        <w:ind w:left="0" w:firstLine="0"/>
      </w:pPr>
      <w:r>
        <w:t>La seconda parte del corso sarà dedicata allo studio di frodi, falsificazioni contabili e delle principali tecniche e dinamiche dell’infiltrazione della criminalità organizzata (mafiosa e non) in azienda. Si faranno numerosi riferimenti alla principale letteratura scientifica in questo ambito, a casi studio e esempi anche tratti dall’attualità.</w:t>
      </w:r>
    </w:p>
    <w:p w14:paraId="090D4639" w14:textId="77777777" w:rsidR="001E464C" w:rsidRDefault="001E464C" w:rsidP="001E464C">
      <w:pPr>
        <w:spacing w:line="240" w:lineRule="exact"/>
        <w:ind w:left="0" w:firstLine="0"/>
      </w:pPr>
      <w:r>
        <w:t>Il corso sarà tenuto principalmente in lingua inglese; alcuni aspetti (es. terminologia di bilancio, quadro normativo) saranno trattati anche in lingua italiana.</w:t>
      </w:r>
    </w:p>
    <w:p w14:paraId="5D4BA48A" w14:textId="5A0139EB" w:rsidR="001E464C" w:rsidRPr="00893BB5" w:rsidRDefault="001E464C" w:rsidP="001E464C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34422">
        <w:rPr>
          <w:rStyle w:val="Rimandonotaapidipagina"/>
          <w:b/>
          <w:i/>
          <w:sz w:val="18"/>
        </w:rPr>
        <w:footnoteReference w:id="2"/>
      </w:r>
    </w:p>
    <w:p w14:paraId="39F425F0" w14:textId="77777777" w:rsidR="001E464C" w:rsidRPr="00DF3A04" w:rsidRDefault="001E464C" w:rsidP="001E464C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14:paraId="66603FED" w14:textId="77777777" w:rsidR="001E464C" w:rsidRDefault="001E464C" w:rsidP="001E464C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815BD7" w14:textId="77777777" w:rsidR="001E464C" w:rsidRPr="00DF3A04" w:rsidRDefault="001E464C" w:rsidP="001E464C">
      <w:pPr>
        <w:pStyle w:val="Testo2"/>
      </w:pPr>
      <w:r w:rsidRPr="000523E7">
        <w:t>Lezioni in aula ed esercitazioni pratiche</w:t>
      </w:r>
      <w:r w:rsidRPr="00DF3A04">
        <w:t>.</w:t>
      </w:r>
    </w:p>
    <w:p w14:paraId="1EACFA6F" w14:textId="77777777" w:rsidR="001E464C" w:rsidRDefault="001E464C" w:rsidP="001E464C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10380F" w14:textId="77777777" w:rsidR="001E464C" w:rsidRDefault="001E464C" w:rsidP="001E464C">
      <w:pPr>
        <w:pStyle w:val="Testo2"/>
      </w:pPr>
      <w:r>
        <w:t>La valutazione sarà effettuata tramite:</w:t>
      </w:r>
    </w:p>
    <w:p w14:paraId="22437915" w14:textId="77777777" w:rsidR="001E464C" w:rsidRDefault="001E464C" w:rsidP="001E464C">
      <w:pPr>
        <w:pStyle w:val="Testo2"/>
        <w:numPr>
          <w:ilvl w:val="0"/>
          <w:numId w:val="7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</w:t>
      </w:r>
      <w:r>
        <w:t>orale</w:t>
      </w:r>
      <w:r w:rsidRPr="00DF3A04">
        <w:t xml:space="preserve">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 xml:space="preserve">, basato sui temi affrontati a lezione (es. concetto di informazione </w:t>
      </w:r>
      <w:r>
        <w:lastRenderedPageBreak/>
        <w:t>societaria, quadro normativo italiano ed europeo, frodi societarie e infiltrazione della criminalità organizzata in azienda, analisi di bilancio).</w:t>
      </w:r>
    </w:p>
    <w:p w14:paraId="1188E82F" w14:textId="77777777" w:rsidR="001E464C" w:rsidRDefault="001E464C" w:rsidP="001E464C">
      <w:pPr>
        <w:pStyle w:val="Testo2"/>
        <w:numPr>
          <w:ilvl w:val="0"/>
          <w:numId w:val="7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14:paraId="4C400679" w14:textId="77777777" w:rsidR="001E464C" w:rsidRDefault="001E464C" w:rsidP="001E464C">
      <w:pPr>
        <w:pStyle w:val="Testo2"/>
        <w:spacing w:before="120"/>
        <w:ind w:firstLine="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14:paraId="4F454106" w14:textId="77777777" w:rsidR="001E464C" w:rsidRDefault="001E464C" w:rsidP="001E464C">
      <w:pPr>
        <w:pStyle w:val="Testo2"/>
        <w:spacing w:before="120"/>
        <w:ind w:firstLine="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14:paraId="2EDC60B1" w14:textId="77777777" w:rsidR="001E464C" w:rsidRDefault="001E464C" w:rsidP="001E464C">
      <w:pPr>
        <w:pStyle w:val="Testo2"/>
        <w:spacing w:before="120"/>
        <w:ind w:firstLine="0"/>
      </w:pPr>
      <w:r>
        <w:t>NB: Le modalità di valutazione potranno subire variazioni a seconda dell’evoluzione del Covid-19 e delle conseguenti scelte effettuate dall’Università in merito a erogazione dei corsi e degli esami di profitto.</w:t>
      </w:r>
    </w:p>
    <w:p w14:paraId="57763426" w14:textId="77777777" w:rsidR="001E464C" w:rsidRDefault="001E464C" w:rsidP="001E464C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CBB8B71" w14:textId="77777777" w:rsidR="001E464C" w:rsidRDefault="001E464C" w:rsidP="001E464C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14:paraId="71E14EA1" w14:textId="77777777" w:rsidR="001E464C" w:rsidRDefault="001E464C" w:rsidP="001E464C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14:paraId="6B927BEF" w14:textId="77777777" w:rsidR="001E464C" w:rsidRDefault="001E464C" w:rsidP="001E464C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290E3B">
        <w:rPr>
          <w:rFonts w:ascii="Times" w:hAnsi="Times" w:cs="Times"/>
          <w:noProof/>
          <w:sz w:val="18"/>
          <w:szCs w:val="20"/>
        </w:rPr>
        <w:t>Conoscenze di base d</w:t>
      </w:r>
      <w:r>
        <w:rPr>
          <w:rFonts w:ascii="Times" w:hAnsi="Times" w:cs="Times"/>
          <w:noProof/>
          <w:sz w:val="18"/>
          <w:szCs w:val="20"/>
        </w:rPr>
        <w:t>i algebra.</w:t>
      </w:r>
    </w:p>
    <w:p w14:paraId="6DA96CFE" w14:textId="77777777" w:rsidR="001E464C" w:rsidRPr="00DF3A04" w:rsidRDefault="001E464C" w:rsidP="001E464C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</w:p>
    <w:p w14:paraId="17C73F24" w14:textId="77777777" w:rsidR="001E464C" w:rsidRPr="00EE1C7C" w:rsidRDefault="001E464C" w:rsidP="001E464C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14:paraId="4009576E" w14:textId="19709DFD" w:rsidR="001E464C" w:rsidRDefault="001E464C" w:rsidP="001E464C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mallCaps/>
          <w:sz w:val="18"/>
          <w:szCs w:val="20"/>
        </w:rPr>
        <w:t>Modulo</w:t>
      </w:r>
      <w:r w:rsidRPr="00C74D08">
        <w:rPr>
          <w:rFonts w:ascii="Times" w:hAnsi="Times" w:cs="Times"/>
          <w:szCs w:val="20"/>
        </w:rPr>
        <w:t xml:space="preserve">: </w:t>
      </w:r>
      <w:r w:rsidRPr="00C74D08">
        <w:rPr>
          <w:rFonts w:ascii="Times" w:hAnsi="Times" w:cs="Times"/>
          <w:i/>
          <w:szCs w:val="20"/>
        </w:rPr>
        <w:t>Governance, Controllo Interno e Compliance</w:t>
      </w:r>
      <w:r w:rsidRPr="00C74D08">
        <w:rPr>
          <w:rFonts w:ascii="Times" w:hAnsi="Times" w:cs="Times"/>
          <w:szCs w:val="20"/>
        </w:rPr>
        <w:t xml:space="preserve"> (Prof. Giuseppe Garzillo)</w:t>
      </w:r>
    </w:p>
    <w:p w14:paraId="416BE257" w14:textId="77777777" w:rsidR="001E464C" w:rsidRPr="00C74D08" w:rsidRDefault="001E464C" w:rsidP="001E464C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b/>
          <w:i/>
          <w:noProof/>
          <w:sz w:val="18"/>
        </w:rPr>
        <w:t>OBIETTIVO DEL CORSO E RISULTATI DI APPRENDIMENTO ATTESI</w:t>
      </w:r>
    </w:p>
    <w:p w14:paraId="62D6F31A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t>Il modulo ha l’obiettivo di formare lo studente su</w:t>
      </w:r>
      <w:r w:rsidRPr="00C74D08">
        <w:rPr>
          <w:rFonts w:ascii="Times" w:hAnsi="Times" w:cs="Times"/>
          <w:szCs w:val="20"/>
        </w:rPr>
        <w:t>gli aspetti fondamentali dei sistemi di gestione e controllo aziendali, partendo dai soggetti della corporate governance, con un focus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aziendali della </w:t>
      </w:r>
      <w:proofErr w:type="spellStart"/>
      <w:r w:rsidRPr="00C74D08">
        <w:rPr>
          <w:rFonts w:ascii="Times" w:hAnsi="Times" w:cs="Times"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 xml:space="preserve"> al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231/01, dei sistemi anticorruzione e della prevenzione delle frodi.</w:t>
      </w:r>
    </w:p>
    <w:p w14:paraId="6B3921EE" w14:textId="77777777" w:rsidR="001E464C" w:rsidRPr="00C74D08" w:rsidRDefault="001E464C" w:rsidP="001E464C">
      <w:pPr>
        <w:spacing w:line="240" w:lineRule="exact"/>
        <w:ind w:left="0" w:firstLine="0"/>
      </w:pPr>
      <w:r w:rsidRPr="00C74D08">
        <w:t xml:space="preserve">Al termine del corso, lo studente sarà in grado di comprendere le logiche di funzionamento dei principali sistemi di controllo interno aziendale; sarà, inoltre, in </w:t>
      </w:r>
      <w:r w:rsidRPr="00C74D08">
        <w:lastRenderedPageBreak/>
        <w:t>grado di dimostrare conoscenza dei principali soggetti della governance aziendale con funzioni di controllo e di prevenzione della corruzione.</w:t>
      </w:r>
    </w:p>
    <w:p w14:paraId="09D7A079" w14:textId="77777777" w:rsidR="001E464C" w:rsidRPr="00C74D08" w:rsidRDefault="001E464C" w:rsidP="001E464C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PROGRAMMA DEL CORSO</w:t>
      </w:r>
    </w:p>
    <w:p w14:paraId="303402EC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Introduzione alla Corporate Governance.</w:t>
      </w:r>
    </w:p>
    <w:p w14:paraId="5660DDB7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Il Sistema di Controllo Interno.</w:t>
      </w:r>
    </w:p>
    <w:p w14:paraId="5D26A858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231/01.</w:t>
      </w:r>
    </w:p>
    <w:p w14:paraId="2F152344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La funzione Compliance.</w:t>
      </w:r>
    </w:p>
    <w:p w14:paraId="58F6C5BD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</w:r>
      <w:proofErr w:type="spellStart"/>
      <w:r w:rsidRPr="00C74D08">
        <w:rPr>
          <w:rFonts w:ascii="Times" w:hAnsi="Times" w:cs="Times"/>
          <w:szCs w:val="20"/>
        </w:rPr>
        <w:t>Overview</w:t>
      </w:r>
      <w:proofErr w:type="spellEnd"/>
      <w:r w:rsidRPr="00C74D08">
        <w:rPr>
          <w:rFonts w:ascii="Times" w:hAnsi="Times" w:cs="Times"/>
          <w:szCs w:val="20"/>
        </w:rPr>
        <w:t xml:space="preserve">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Audit.</w:t>
      </w:r>
    </w:p>
    <w:p w14:paraId="0E0CBBEE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anticorruzione.</w:t>
      </w:r>
    </w:p>
    <w:p w14:paraId="19924BE4" w14:textId="77777777" w:rsidR="001E464C" w:rsidRPr="00C74D08" w:rsidRDefault="001E464C" w:rsidP="001E464C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di prevenzione delle frodi.</w:t>
      </w:r>
    </w:p>
    <w:p w14:paraId="1C7626AC" w14:textId="64567645" w:rsidR="001E464C" w:rsidRPr="00C74D08" w:rsidRDefault="001E464C" w:rsidP="001E464C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BIBLIOGRAFIA</w:t>
      </w:r>
      <w:r w:rsidR="00634422">
        <w:rPr>
          <w:rStyle w:val="Rimandonotaapidipagina"/>
          <w:rFonts w:ascii="Times" w:hAnsi="Times" w:cs="Times"/>
          <w:b/>
          <w:i/>
          <w:sz w:val="18"/>
          <w:szCs w:val="20"/>
        </w:rPr>
        <w:footnoteReference w:id="3"/>
      </w:r>
    </w:p>
    <w:p w14:paraId="7BB65AD7" w14:textId="77777777" w:rsidR="001E464C" w:rsidRPr="00C74D08" w:rsidRDefault="001E464C" w:rsidP="001E464C">
      <w:pPr>
        <w:pStyle w:val="Testo1"/>
        <w:ind w:firstLine="0"/>
      </w:pPr>
      <w:r w:rsidRPr="00C74D08">
        <w:rPr>
          <w:i/>
        </w:rPr>
        <w:t>Il Sistema di Controllo Interno</w:t>
      </w:r>
      <w:r w:rsidRPr="00C74D08">
        <w:t>, a cura di PricewaterhouseCoopers, ed. Il Sole 24 Ore.</w:t>
      </w:r>
    </w:p>
    <w:p w14:paraId="1DC7D974" w14:textId="77777777" w:rsidR="001E464C" w:rsidRPr="00C74D08" w:rsidRDefault="001E464C" w:rsidP="001E464C">
      <w:pPr>
        <w:pStyle w:val="Testo1"/>
        <w:spacing w:before="0"/>
        <w:ind w:firstLine="0"/>
      </w:pPr>
      <w:r w:rsidRPr="00C74D08">
        <w:rPr>
          <w:i/>
        </w:rPr>
        <w:t xml:space="preserve">Il Codice di </w:t>
      </w:r>
      <w:r>
        <w:rPr>
          <w:i/>
        </w:rPr>
        <w:t>Corporate Governance</w:t>
      </w:r>
      <w:r w:rsidRPr="00C74D08">
        <w:rPr>
          <w:i/>
        </w:rPr>
        <w:t xml:space="preserve"> di Borsa Italiana</w:t>
      </w:r>
      <w:r w:rsidRPr="00C74D08">
        <w:t>, scaricabile dal sito di Borsa Italiana.</w:t>
      </w:r>
    </w:p>
    <w:p w14:paraId="16EDE79F" w14:textId="77777777" w:rsidR="001E464C" w:rsidRPr="00C74D08" w:rsidRDefault="001E464C" w:rsidP="001E464C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DIDATTICA DEL CORSO</w:t>
      </w:r>
    </w:p>
    <w:p w14:paraId="3FDB863E" w14:textId="77777777" w:rsidR="001E464C" w:rsidRPr="00C74D08" w:rsidRDefault="001E464C" w:rsidP="001E464C">
      <w:pPr>
        <w:pStyle w:val="Testo2"/>
      </w:pPr>
      <w:r w:rsidRPr="00C74D08">
        <w:t>Docente in aula, con supporto di slide e ulteriore materiale didattico (documenti, report, ecc.), che saranno distribuiti.</w:t>
      </w:r>
    </w:p>
    <w:p w14:paraId="63B9DD4D" w14:textId="77777777" w:rsidR="001E464C" w:rsidRPr="00C74D08" w:rsidRDefault="001E464C" w:rsidP="001E464C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METODO E CRITERI DI VALUTAZIONE</w:t>
      </w:r>
    </w:p>
    <w:p w14:paraId="6C6BB893" w14:textId="77777777" w:rsidR="001E464C" w:rsidRPr="00C74D08" w:rsidRDefault="001E464C" w:rsidP="001E464C">
      <w:pPr>
        <w:pStyle w:val="Testo2"/>
      </w:pPr>
      <w:r w:rsidRPr="00C74D08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14:paraId="7B94C4ED" w14:textId="77777777" w:rsidR="001E464C" w:rsidRPr="00C74D08" w:rsidRDefault="001E464C" w:rsidP="001E464C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AVVERTENZE E PREREQUISITI</w:t>
      </w:r>
    </w:p>
    <w:p w14:paraId="1553BD19" w14:textId="77777777" w:rsidR="001E464C" w:rsidRPr="00C74D08" w:rsidRDefault="001E464C" w:rsidP="001E464C">
      <w:pPr>
        <w:pStyle w:val="Testo2"/>
      </w:pPr>
      <w:r w:rsidRPr="00C74D08">
        <w:rPr>
          <w:i/>
        </w:rPr>
        <w:t>Conoscenze di base</w:t>
      </w:r>
      <w:r w:rsidRPr="00C74D08">
        <w:t>:</w:t>
      </w:r>
    </w:p>
    <w:p w14:paraId="488A2B71" w14:textId="77777777" w:rsidR="001E464C" w:rsidRPr="00C74D08" w:rsidRDefault="001E464C" w:rsidP="001E464C">
      <w:pPr>
        <w:tabs>
          <w:tab w:val="clear" w:pos="284"/>
        </w:tabs>
        <w:spacing w:line="220" w:lineRule="exact"/>
        <w:ind w:left="0" w:firstLine="284"/>
      </w:pPr>
      <w:r w:rsidRPr="00C74D08">
        <w:t>Il corso richiede la conoscenza di elementi di organizzazione aziendale che verranno comunque ripresi e richiamati nel corso delle lezioni.</w:t>
      </w:r>
    </w:p>
    <w:p w14:paraId="77B17333" w14:textId="77777777" w:rsidR="001E464C" w:rsidRPr="00C74D08" w:rsidRDefault="001E464C" w:rsidP="001E464C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C74D08">
        <w:rPr>
          <w:sz w:val="18"/>
          <w:szCs w:val="18"/>
          <w:shd w:val="clear" w:color="auto" w:fill="FFFFFF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6D9D73F8" w14:textId="77777777" w:rsidR="001E464C" w:rsidRPr="00C74D08" w:rsidRDefault="001E464C" w:rsidP="001E464C">
      <w:pPr>
        <w:tabs>
          <w:tab w:val="clear" w:pos="284"/>
        </w:tabs>
        <w:spacing w:line="220" w:lineRule="exact"/>
        <w:ind w:left="0" w:firstLine="284"/>
      </w:pPr>
    </w:p>
    <w:p w14:paraId="4C76E874" w14:textId="77777777" w:rsidR="001E464C" w:rsidRPr="00C74D08" w:rsidRDefault="001E464C" w:rsidP="001E464C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C74D08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14:paraId="08C0919F" w14:textId="77777777" w:rsidR="001E464C" w:rsidRPr="00C74D08" w:rsidRDefault="001E464C" w:rsidP="001E464C">
      <w:pPr>
        <w:pStyle w:val="Testo2"/>
      </w:pPr>
      <w:r w:rsidRPr="00C74D08">
        <w:t>Il Prof. Giuseppe Garzillo comunicherà a lezione orario e luogo di ricevimento degli studenti.</w:t>
      </w:r>
    </w:p>
    <w:sectPr w:rsidR="001E464C" w:rsidRPr="00C74D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5209C" w14:textId="77777777" w:rsidR="00581081" w:rsidRDefault="00581081" w:rsidP="00581081">
      <w:r>
        <w:separator/>
      </w:r>
    </w:p>
  </w:endnote>
  <w:endnote w:type="continuationSeparator" w:id="0">
    <w:p w14:paraId="73157571" w14:textId="77777777" w:rsidR="00581081" w:rsidRDefault="00581081" w:rsidP="0058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0975" w14:textId="77777777" w:rsidR="00581081" w:rsidRDefault="00581081" w:rsidP="00581081">
      <w:r>
        <w:separator/>
      </w:r>
    </w:p>
  </w:footnote>
  <w:footnote w:type="continuationSeparator" w:id="0">
    <w:p w14:paraId="0EEB3019" w14:textId="77777777" w:rsidR="00581081" w:rsidRDefault="00581081" w:rsidP="00581081">
      <w:r>
        <w:continuationSeparator/>
      </w:r>
    </w:p>
  </w:footnote>
  <w:footnote w:id="1">
    <w:p w14:paraId="11C26708" w14:textId="5F2643BB" w:rsidR="00634422" w:rsidRDefault="006344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C17D62B" w14:textId="7A81E5B6" w:rsidR="00634422" w:rsidRDefault="006344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64042F46" w14:textId="2FE61DBA" w:rsidR="00634422" w:rsidRDefault="006344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C80308"/>
    <w:multiLevelType w:val="hybridMultilevel"/>
    <w:tmpl w:val="4960773A"/>
    <w:lvl w:ilvl="0" w:tplc="B77221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639B"/>
    <w:multiLevelType w:val="hybridMultilevel"/>
    <w:tmpl w:val="F774B8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876822"/>
    <w:multiLevelType w:val="hybridMultilevel"/>
    <w:tmpl w:val="CE24D6F0"/>
    <w:lvl w:ilvl="0" w:tplc="F7DC7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3F9E"/>
    <w:multiLevelType w:val="hybridMultilevel"/>
    <w:tmpl w:val="A18E6050"/>
    <w:lvl w:ilvl="0" w:tplc="A476AD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1D95"/>
    <w:multiLevelType w:val="hybridMultilevel"/>
    <w:tmpl w:val="462433A2"/>
    <w:lvl w:ilvl="0" w:tplc="7C44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6289D"/>
    <w:multiLevelType w:val="hybridMultilevel"/>
    <w:tmpl w:val="750A8870"/>
    <w:lvl w:ilvl="0" w:tplc="2BFE30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4"/>
    <w:rsid w:val="000523E7"/>
    <w:rsid w:val="00076CA1"/>
    <w:rsid w:val="000C675E"/>
    <w:rsid w:val="000F65AC"/>
    <w:rsid w:val="001210F5"/>
    <w:rsid w:val="00187B99"/>
    <w:rsid w:val="001B48BA"/>
    <w:rsid w:val="001D094E"/>
    <w:rsid w:val="001E464C"/>
    <w:rsid w:val="001F044D"/>
    <w:rsid w:val="002014DD"/>
    <w:rsid w:val="00202CF7"/>
    <w:rsid w:val="00251A79"/>
    <w:rsid w:val="00265C01"/>
    <w:rsid w:val="002F49E8"/>
    <w:rsid w:val="00346229"/>
    <w:rsid w:val="003512A4"/>
    <w:rsid w:val="00392B3E"/>
    <w:rsid w:val="003A1507"/>
    <w:rsid w:val="003C6EA5"/>
    <w:rsid w:val="003E67D5"/>
    <w:rsid w:val="00426CF1"/>
    <w:rsid w:val="00434148"/>
    <w:rsid w:val="004479AD"/>
    <w:rsid w:val="004D1217"/>
    <w:rsid w:val="004D6008"/>
    <w:rsid w:val="005800C9"/>
    <w:rsid w:val="00581081"/>
    <w:rsid w:val="005B1A80"/>
    <w:rsid w:val="0060599C"/>
    <w:rsid w:val="00634422"/>
    <w:rsid w:val="00694AD5"/>
    <w:rsid w:val="006B2E82"/>
    <w:rsid w:val="006C5513"/>
    <w:rsid w:val="006F1772"/>
    <w:rsid w:val="00726273"/>
    <w:rsid w:val="00756DFB"/>
    <w:rsid w:val="007B01D9"/>
    <w:rsid w:val="007D42D7"/>
    <w:rsid w:val="00823E6D"/>
    <w:rsid w:val="008778B2"/>
    <w:rsid w:val="008A1204"/>
    <w:rsid w:val="008F1B75"/>
    <w:rsid w:val="00900CCA"/>
    <w:rsid w:val="00924B77"/>
    <w:rsid w:val="00940DA2"/>
    <w:rsid w:val="00962DE3"/>
    <w:rsid w:val="009A1CA6"/>
    <w:rsid w:val="009A1CA8"/>
    <w:rsid w:val="009D5BA8"/>
    <w:rsid w:val="009E055C"/>
    <w:rsid w:val="00A74F6F"/>
    <w:rsid w:val="00A77CAE"/>
    <w:rsid w:val="00AD6A55"/>
    <w:rsid w:val="00B2132D"/>
    <w:rsid w:val="00B24CF0"/>
    <w:rsid w:val="00B25B31"/>
    <w:rsid w:val="00B525CC"/>
    <w:rsid w:val="00B65339"/>
    <w:rsid w:val="00B93178"/>
    <w:rsid w:val="00BF1914"/>
    <w:rsid w:val="00C1652C"/>
    <w:rsid w:val="00C352F7"/>
    <w:rsid w:val="00C574C1"/>
    <w:rsid w:val="00C61E9E"/>
    <w:rsid w:val="00CC6482"/>
    <w:rsid w:val="00D404F2"/>
    <w:rsid w:val="00D64CC3"/>
    <w:rsid w:val="00D67F3D"/>
    <w:rsid w:val="00DB30E6"/>
    <w:rsid w:val="00DB4037"/>
    <w:rsid w:val="00DF3A04"/>
    <w:rsid w:val="00E2092A"/>
    <w:rsid w:val="00E245D5"/>
    <w:rsid w:val="00E415E4"/>
    <w:rsid w:val="00E421E3"/>
    <w:rsid w:val="00E50850"/>
    <w:rsid w:val="00E607E6"/>
    <w:rsid w:val="00E970A4"/>
    <w:rsid w:val="00ED614B"/>
    <w:rsid w:val="00F14F70"/>
    <w:rsid w:val="00F172EF"/>
    <w:rsid w:val="00F47567"/>
    <w:rsid w:val="00F65C9B"/>
    <w:rsid w:val="00F85BB8"/>
    <w:rsid w:val="00F94875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0B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F6F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648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7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9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1B48B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58108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81"/>
  </w:style>
  <w:style w:type="character" w:styleId="Rimandonotaapidipagina">
    <w:name w:val="footnote reference"/>
    <w:basedOn w:val="Carpredefinitoparagrafo"/>
    <w:unhideWhenUsed/>
    <w:rsid w:val="005810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F6F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648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7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9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1B48B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58108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81"/>
  </w:style>
  <w:style w:type="character" w:styleId="Rimandonotaapidipagina">
    <w:name w:val="footnote reference"/>
    <w:basedOn w:val="Carpredefinitoparagrafo"/>
    <w:unhideWhenUsed/>
    <w:rsid w:val="0058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corso/manuale-di-diritto-amministrativo-9788892143142-7110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8C42-94F9-41A9-B6C8-37654C8B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180</TotalTime>
  <Pages>6</Pages>
  <Words>1581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 Walter</dc:creator>
  <cp:keywords/>
  <cp:lastModifiedBy>Rolli Andrea</cp:lastModifiedBy>
  <cp:revision>69</cp:revision>
  <cp:lastPrinted>2018-06-14T10:36:00Z</cp:lastPrinted>
  <dcterms:created xsi:type="dcterms:W3CDTF">2013-06-27T11:49:00Z</dcterms:created>
  <dcterms:modified xsi:type="dcterms:W3CDTF">2022-07-20T07:08:00Z</dcterms:modified>
</cp:coreProperties>
</file>