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9B82" w14:textId="77777777" w:rsidR="002D5E17" w:rsidRDefault="00F65071" w:rsidP="00F65071">
      <w:pPr>
        <w:pStyle w:val="Titolo1"/>
      </w:pPr>
      <w:r w:rsidRPr="00DC2FF0">
        <w:t>Sociologia generale</w:t>
      </w:r>
      <w:r>
        <w:t xml:space="preserve"> (laurea in Scienze politiche e delle relazioni internazionali)</w:t>
      </w:r>
    </w:p>
    <w:p w14:paraId="47C39681" w14:textId="77777777" w:rsidR="00F65071" w:rsidRDefault="00F65071" w:rsidP="00F65071">
      <w:pPr>
        <w:pStyle w:val="Titolo2"/>
        <w:rPr>
          <w:szCs w:val="18"/>
        </w:rPr>
      </w:pPr>
      <w:r w:rsidRPr="00DC2FF0">
        <w:rPr>
          <w:szCs w:val="18"/>
        </w:rPr>
        <w:t>Prof.</w:t>
      </w:r>
      <w:r w:rsidR="00A35A1F">
        <w:rPr>
          <w:szCs w:val="18"/>
        </w:rPr>
        <w:t xml:space="preserve"> Rita Bichi</w:t>
      </w:r>
    </w:p>
    <w:p w14:paraId="3571A942" w14:textId="77777777" w:rsidR="00F65071" w:rsidRDefault="00F65071" w:rsidP="00F6507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770D02" w14:textId="468F85CC" w:rsidR="00F65071" w:rsidRDefault="00F65071" w:rsidP="00A35A1F">
      <w:pPr>
        <w:spacing w:line="240" w:lineRule="exact"/>
      </w:pPr>
      <w:r>
        <w:t xml:space="preserve">L’insegnamento si propone di fornire agli studenti la conoscenza dei modi in cui la </w:t>
      </w:r>
      <w:r w:rsidR="00BC3A98">
        <w:t>S</w:t>
      </w:r>
      <w:r>
        <w:t xml:space="preserve">ociologia interpreta ed analizza il “vivere in società” di </w:t>
      </w:r>
      <w:r w:rsidR="00C30E11">
        <w:t>persone</w:t>
      </w:r>
      <w:r>
        <w:t>, gruppi, culture differenti, nel contesto delle società tradizionali, moderne e postmoderne.</w:t>
      </w:r>
    </w:p>
    <w:p w14:paraId="463B033B" w14:textId="77777777" w:rsidR="00F65071" w:rsidRDefault="00F65071" w:rsidP="00A35A1F">
      <w:pPr>
        <w:spacing w:line="240" w:lineRule="exact"/>
      </w:pPr>
      <w:r>
        <w:t>Il corso si articola in tre parti.</w:t>
      </w:r>
    </w:p>
    <w:p w14:paraId="60F7D1C9" w14:textId="77777777" w:rsidR="00F65071" w:rsidRDefault="00F65071" w:rsidP="00A35A1F">
      <w:pPr>
        <w:spacing w:line="240" w:lineRule="exact"/>
      </w:pPr>
      <w:r>
        <w:t xml:space="preserve">La prima parte è dedicata alla ricostruzione delle origini e degli sviluppi del pensiero sociologico attraverso i suoi padri fondatori e le principali scuole teoriche classiche e contemporanee. </w:t>
      </w:r>
    </w:p>
    <w:p w14:paraId="1E3806AE" w14:textId="77777777" w:rsidR="00F65071" w:rsidRDefault="00F65071" w:rsidP="00A35A1F">
      <w:pPr>
        <w:spacing w:line="240" w:lineRule="exact"/>
      </w:pPr>
      <w:r>
        <w:t>La seconda parte è dedicata alla presentazione sistematica dei concetti propri dell’analisi sociologica e dei processi sociali fondamentali che contraddistinguono la convivenza sociale, con specifici approfondimenti sulle problematiche connesse alla vita individuale e collettiva nell’epoca della globalizzazione culturale, economica e politica.</w:t>
      </w:r>
    </w:p>
    <w:p w14:paraId="666501F2" w14:textId="77777777" w:rsidR="00F65071" w:rsidRDefault="00F65071" w:rsidP="00A35A1F">
      <w:pPr>
        <w:spacing w:line="240" w:lineRule="exact"/>
      </w:pPr>
      <w:r>
        <w:t>La terza parte è dedicata ad approfondimenti tematici di rilevante attualità.</w:t>
      </w:r>
    </w:p>
    <w:p w14:paraId="4C089EB8" w14:textId="77777777" w:rsidR="00F65071" w:rsidRDefault="00F65071" w:rsidP="00A35A1F">
      <w:pPr>
        <w:spacing w:before="120" w:line="240" w:lineRule="exact"/>
      </w:pPr>
      <w:r>
        <w:t>Al termine dell’insegnamento, lo studente sarà in grado di comprendere e adoperare correttamente i concetti chiave della disciplina, dimostrare la conoscenza delle principali teorie sociologiche classiche e contemporanee, operare connessioni e porre in relazione tra loro queste teorie, descrivere e esaminare criticamente i principali fenomeni della società contemporanea, con particolare attenzione agli approfondimenti tematici proposti dall’insegnamento.</w:t>
      </w:r>
    </w:p>
    <w:p w14:paraId="01BDD1B6" w14:textId="77777777" w:rsidR="00F65071" w:rsidRDefault="00F65071" w:rsidP="00F6507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22F6ED" w14:textId="47A135DA" w:rsidR="00F65071" w:rsidRPr="00DC2FF0" w:rsidRDefault="00F65071" w:rsidP="00F65071">
      <w:r>
        <w:rPr>
          <w:smallCaps/>
          <w:sz w:val="18"/>
          <w:szCs w:val="18"/>
        </w:rPr>
        <w:t>Parte p</w:t>
      </w:r>
      <w:r w:rsidRPr="00DC2FF0">
        <w:rPr>
          <w:smallCaps/>
          <w:sz w:val="18"/>
          <w:szCs w:val="18"/>
        </w:rPr>
        <w:t>rima</w:t>
      </w:r>
      <w:r>
        <w:rPr>
          <w:smallCaps/>
          <w:sz w:val="18"/>
          <w:szCs w:val="18"/>
        </w:rPr>
        <w:t>:</w:t>
      </w:r>
      <w:r>
        <w:t xml:space="preserve"> </w:t>
      </w:r>
      <w:r w:rsidR="00B541CF">
        <w:rPr>
          <w:i/>
        </w:rPr>
        <w:t>Le idee sulla società</w:t>
      </w:r>
    </w:p>
    <w:p w14:paraId="5A67CAB3" w14:textId="5E95682B" w:rsidR="00F65071" w:rsidRDefault="00C30E11" w:rsidP="00A35A1F">
      <w:pPr>
        <w:pStyle w:val="Paragrafoelenco"/>
        <w:numPr>
          <w:ilvl w:val="0"/>
          <w:numId w:val="6"/>
        </w:numPr>
        <w:ind w:left="284" w:hanging="284"/>
      </w:pPr>
      <w:r>
        <w:t>Lo stato nascente</w:t>
      </w:r>
      <w:r w:rsidR="00F65071">
        <w:t xml:space="preserve"> (Marx, </w:t>
      </w:r>
      <w:r>
        <w:t xml:space="preserve">Kelley, </w:t>
      </w:r>
      <w:r w:rsidR="00F65071">
        <w:t>Durkheim, Weber, Simmel</w:t>
      </w:r>
      <w:r>
        <w:t>, Pareto, Schnitger, Wunderlich</w:t>
      </w:r>
      <w:r w:rsidR="00F65071">
        <w:t>).</w:t>
      </w:r>
    </w:p>
    <w:p w14:paraId="5AD81562" w14:textId="663CFF47" w:rsidR="00F65071" w:rsidRPr="00B541CF" w:rsidRDefault="00C30E11" w:rsidP="00A35A1F">
      <w:pPr>
        <w:pStyle w:val="Paragrafoelenco"/>
        <w:numPr>
          <w:ilvl w:val="0"/>
          <w:numId w:val="6"/>
        </w:numPr>
        <w:ind w:left="284" w:hanging="284"/>
        <w:rPr>
          <w:lang w:val="en-US"/>
        </w:rPr>
      </w:pPr>
      <w:r w:rsidRPr="00B541CF">
        <w:rPr>
          <w:lang w:val="en-US"/>
        </w:rPr>
        <w:t>La fase espansiva</w:t>
      </w:r>
      <w:r w:rsidR="00F65071" w:rsidRPr="00B541CF">
        <w:rPr>
          <w:lang w:val="en-US"/>
        </w:rPr>
        <w:t xml:space="preserve"> (</w:t>
      </w:r>
      <w:r w:rsidRPr="00B541CF">
        <w:rPr>
          <w:lang w:val="en-US"/>
        </w:rPr>
        <w:t>Blumer, Lofland, Wr</w:t>
      </w:r>
      <w:r w:rsidR="00B541CF" w:rsidRPr="00B541CF">
        <w:rPr>
          <w:lang w:val="en-US"/>
        </w:rPr>
        <w:t xml:space="preserve">ight </w:t>
      </w:r>
      <w:r w:rsidR="000964E6">
        <w:rPr>
          <w:lang w:val="en-US"/>
        </w:rPr>
        <w:t>Mills,</w:t>
      </w:r>
      <w:r w:rsidR="000964E6" w:rsidRPr="00B541CF">
        <w:rPr>
          <w:lang w:val="en-US"/>
        </w:rPr>
        <w:t xml:space="preserve"> Parsons</w:t>
      </w:r>
      <w:r w:rsidR="00F65071" w:rsidRPr="00B541CF">
        <w:rPr>
          <w:lang w:val="en-US"/>
        </w:rPr>
        <w:t>, Merton</w:t>
      </w:r>
      <w:r w:rsidR="00B541CF">
        <w:rPr>
          <w:lang w:val="en-US"/>
        </w:rPr>
        <w:t xml:space="preserve">, </w:t>
      </w:r>
      <w:r w:rsidR="00F65071" w:rsidRPr="00B541CF">
        <w:rPr>
          <w:lang w:val="en-US"/>
        </w:rPr>
        <w:t xml:space="preserve">Schutz, </w:t>
      </w:r>
      <w:r w:rsidR="00B541CF">
        <w:rPr>
          <w:lang w:val="en-US"/>
        </w:rPr>
        <w:t xml:space="preserve">Gramsci, Sturzo, </w:t>
      </w:r>
      <w:r w:rsidR="00F65071" w:rsidRPr="00B541CF">
        <w:rPr>
          <w:lang w:val="en-US"/>
        </w:rPr>
        <w:t>Goffman).</w:t>
      </w:r>
    </w:p>
    <w:p w14:paraId="2EB94112" w14:textId="210887C6" w:rsidR="00F65071" w:rsidRPr="00B541CF" w:rsidRDefault="00C30E11" w:rsidP="00A35A1F">
      <w:pPr>
        <w:pStyle w:val="Paragrafoelenco"/>
        <w:numPr>
          <w:ilvl w:val="0"/>
          <w:numId w:val="6"/>
        </w:numPr>
        <w:ind w:left="284" w:hanging="284"/>
        <w:rPr>
          <w:lang w:val="en-US"/>
        </w:rPr>
      </w:pPr>
      <w:r w:rsidRPr="00B541CF">
        <w:rPr>
          <w:lang w:val="en-US"/>
        </w:rPr>
        <w:t>L’effervescenza critica</w:t>
      </w:r>
      <w:r w:rsidR="00F65071" w:rsidRPr="00B541CF">
        <w:rPr>
          <w:lang w:val="en-US"/>
        </w:rPr>
        <w:t xml:space="preserve"> (</w:t>
      </w:r>
      <w:r w:rsidR="00B541CF" w:rsidRPr="00B541CF">
        <w:rPr>
          <w:lang w:val="en-US"/>
        </w:rPr>
        <w:t>Habermas, Garfinkel, Ar</w:t>
      </w:r>
      <w:r w:rsidR="00B541CF">
        <w:rPr>
          <w:lang w:val="en-US"/>
        </w:rPr>
        <w:t>di</w:t>
      </w:r>
      <w:r w:rsidR="00B541CF" w:rsidRPr="00B541CF">
        <w:rPr>
          <w:lang w:val="en-US"/>
        </w:rPr>
        <w:t>gò, Dahrendorf, B</w:t>
      </w:r>
      <w:r w:rsidR="00B541CF">
        <w:rPr>
          <w:lang w:val="en-US"/>
        </w:rPr>
        <w:t>o</w:t>
      </w:r>
      <w:r w:rsidR="00B541CF" w:rsidRPr="00B541CF">
        <w:rPr>
          <w:lang w:val="en-US"/>
        </w:rPr>
        <w:t>udon,</w:t>
      </w:r>
      <w:r w:rsidR="00B541CF">
        <w:rPr>
          <w:lang w:val="en-US"/>
        </w:rPr>
        <w:t xml:space="preserve"> Bourdieu, G</w:t>
      </w:r>
      <w:r w:rsidR="00F65071" w:rsidRPr="00B541CF">
        <w:rPr>
          <w:lang w:val="en-US"/>
        </w:rPr>
        <w:t xml:space="preserve">iddens, </w:t>
      </w:r>
      <w:r w:rsidR="00B541CF">
        <w:rPr>
          <w:lang w:val="en-US"/>
        </w:rPr>
        <w:t xml:space="preserve">Hill Collins, </w:t>
      </w:r>
      <w:r w:rsidR="00F65071" w:rsidRPr="00B541CF">
        <w:rPr>
          <w:lang w:val="en-US"/>
        </w:rPr>
        <w:t>Bauman, Beck)</w:t>
      </w:r>
    </w:p>
    <w:p w14:paraId="544F3E7C" w14:textId="480F83A3" w:rsidR="00C30E11" w:rsidRDefault="00C30E11" w:rsidP="00A35A1F">
      <w:pPr>
        <w:pStyle w:val="Paragrafoelenco"/>
        <w:numPr>
          <w:ilvl w:val="0"/>
          <w:numId w:val="6"/>
        </w:numPr>
        <w:ind w:left="284" w:hanging="284"/>
      </w:pPr>
      <w:r>
        <w:t>Ripensare la società</w:t>
      </w:r>
      <w:r w:rsidR="00B541CF">
        <w:t xml:space="preserve"> (Archer, Sennett, Hochschild)</w:t>
      </w:r>
    </w:p>
    <w:p w14:paraId="14021BAB" w14:textId="7B03FDBE" w:rsidR="00F65071" w:rsidRPr="00DC2FF0" w:rsidRDefault="00F65071" w:rsidP="00F65071">
      <w:pPr>
        <w:spacing w:before="120"/>
      </w:pPr>
      <w:r>
        <w:rPr>
          <w:smallCaps/>
          <w:sz w:val="18"/>
          <w:szCs w:val="18"/>
        </w:rPr>
        <w:t>Parte s</w:t>
      </w:r>
      <w:r w:rsidRPr="00DC2FF0">
        <w:rPr>
          <w:smallCaps/>
          <w:sz w:val="18"/>
          <w:szCs w:val="18"/>
        </w:rPr>
        <w:t>econda</w:t>
      </w:r>
      <w:r>
        <w:rPr>
          <w:smallCaps/>
          <w:sz w:val="18"/>
          <w:szCs w:val="18"/>
        </w:rPr>
        <w:t xml:space="preserve">: </w:t>
      </w:r>
      <w:r w:rsidR="00B541CF">
        <w:rPr>
          <w:i/>
        </w:rPr>
        <w:t>La persona nella società</w:t>
      </w:r>
    </w:p>
    <w:p w14:paraId="1FD3A89D" w14:textId="5C2D317E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Essere in relazione </w:t>
      </w:r>
    </w:p>
    <w:p w14:paraId="15F864E8" w14:textId="05A4E7DF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Sentirsi parte </w:t>
      </w:r>
    </w:p>
    <w:p w14:paraId="7543D1E6" w14:textId="00D4D5F9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Ri-Produrre le culture </w:t>
      </w:r>
    </w:p>
    <w:p w14:paraId="45D8588B" w14:textId="105DC69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lastRenderedPageBreak/>
        <w:t xml:space="preserve">Ri-Produrre le norme sociali </w:t>
      </w:r>
    </w:p>
    <w:p w14:paraId="17C9AD3B" w14:textId="7C4B03B9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Avere interessi e passioni: tempo libero, svago e sport </w:t>
      </w:r>
    </w:p>
    <w:p w14:paraId="2F077704" w14:textId="37E1F042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Provare emozioni </w:t>
      </w:r>
    </w:p>
    <w:p w14:paraId="4C6DB256" w14:textId="1B449CB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Comunicare: la mediatizzazione </w:t>
      </w:r>
    </w:p>
    <w:p w14:paraId="275F7DF0" w14:textId="0DC242C1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nella quotidianità </w:t>
      </w:r>
    </w:p>
    <w:p w14:paraId="156F1ADC" w14:textId="0768920A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 Il corso della vita </w:t>
      </w:r>
    </w:p>
    <w:p w14:paraId="62662603" w14:textId="0067CD8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la famiglia </w:t>
      </w:r>
    </w:p>
    <w:p w14:paraId="03CD34DC" w14:textId="62B71E37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genere </w:t>
      </w:r>
    </w:p>
    <w:p w14:paraId="72718162" w14:textId="2CBB3E7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le disuguaglianze </w:t>
      </w:r>
    </w:p>
    <w:p w14:paraId="077D85EA" w14:textId="110694F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>Agire insieme</w:t>
      </w:r>
    </w:p>
    <w:p w14:paraId="7587187A" w14:textId="7A873076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lavoro </w:t>
      </w:r>
    </w:p>
    <w:p w14:paraId="5AC3028B" w14:textId="52F80790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Percepire la trascendenza </w:t>
      </w:r>
    </w:p>
    <w:p w14:paraId="06458303" w14:textId="0E63B83F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Possedere e scambiare risorse </w:t>
      </w:r>
    </w:p>
    <w:p w14:paraId="33BFCEE0" w14:textId="2AEF505C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Istruirsi e educare </w:t>
      </w:r>
    </w:p>
    <w:p w14:paraId="3B2B19DA" w14:textId="39D1ED77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>Ricevere e dare aiuto e sostegno</w:t>
      </w:r>
    </w:p>
    <w:p w14:paraId="7F8B9C6E" w14:textId="37B06F93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Stare bene: salute e benessere </w:t>
      </w:r>
    </w:p>
    <w:p w14:paraId="29FD18CE" w14:textId="0E3E9A2E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Stare bene: salute digitale </w:t>
      </w:r>
    </w:p>
    <w:p w14:paraId="6DAD5F97" w14:textId="6F600EA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Pr="00A943FC">
        <w:rPr>
          <w:rFonts w:ascii="Times New Roman" w:hAnsi="Times New Roman"/>
          <w:color w:val="000000"/>
          <w:sz w:val="20"/>
          <w:szCs w:val="20"/>
        </w:rPr>
        <w:t xml:space="preserve">artecipare alla vita pubblica </w:t>
      </w:r>
    </w:p>
    <w:p w14:paraId="2F390C02" w14:textId="2727FEC6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nel mondo globale </w:t>
      </w:r>
    </w:p>
    <w:p w14:paraId="3A8E6EC9" w14:textId="0EB1C87A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pianeta: il cambiamento climatico </w:t>
      </w:r>
    </w:p>
    <w:p w14:paraId="053CE87E" w14:textId="11B2F1DC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 tempi e i ritmi della società </w:t>
      </w:r>
    </w:p>
    <w:p w14:paraId="0CAFEA97" w14:textId="1E3F28B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Muoversi nel mondo </w:t>
      </w:r>
    </w:p>
    <w:p w14:paraId="5889151C" w14:textId="6AC1E878" w:rsidR="00F65071" w:rsidRPr="00DC2FF0" w:rsidRDefault="00F65071" w:rsidP="00BB223A">
      <w:pPr>
        <w:spacing w:before="120"/>
      </w:pPr>
      <w:r w:rsidRPr="00A943FC">
        <w:rPr>
          <w:smallCaps/>
          <w:sz w:val="18"/>
          <w:szCs w:val="18"/>
        </w:rPr>
        <w:t xml:space="preserve">Parte terza: </w:t>
      </w:r>
      <w:r w:rsidRPr="00A943FC">
        <w:rPr>
          <w:i/>
        </w:rPr>
        <w:t>Approfondimenti tematici</w:t>
      </w:r>
    </w:p>
    <w:p w14:paraId="1DFBC6A4" w14:textId="77777777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>Crisi e ricostruzione del legame sociale nell’età della globalizzazione.</w:t>
      </w:r>
    </w:p>
    <w:p w14:paraId="5F003CFF" w14:textId="77777777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>Culture e valori degli italiani.</w:t>
      </w:r>
    </w:p>
    <w:p w14:paraId="2730DE0D" w14:textId="42407983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 xml:space="preserve">La condizione giovanile in </w:t>
      </w:r>
      <w:r w:rsidR="00BC3A98">
        <w:t>Italia</w:t>
      </w:r>
      <w:r>
        <w:t>.</w:t>
      </w:r>
    </w:p>
    <w:p w14:paraId="18C36347" w14:textId="5C9D339B" w:rsidR="00F65071" w:rsidRPr="00A35A1F" w:rsidRDefault="00F65071" w:rsidP="00A35A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720D">
        <w:rPr>
          <w:rStyle w:val="Rimandonotaapidipagina"/>
          <w:b/>
          <w:i/>
          <w:sz w:val="18"/>
        </w:rPr>
        <w:footnoteReference w:id="1"/>
      </w:r>
    </w:p>
    <w:p w14:paraId="1AC46A5F" w14:textId="77777777" w:rsidR="00F65071" w:rsidRPr="00A35A1F" w:rsidRDefault="00F65071" w:rsidP="00F65071">
      <w:pPr>
        <w:pStyle w:val="Testo1"/>
      </w:pPr>
      <w:r w:rsidRPr="00A35A1F">
        <w:t>Sono previste due opzioni per preparare il programma d’esame (A e B) tra cui lo studente può liberamente scegliere. La prima (A) è indicata per chi può frequentare; la seconda (B) è indicata per chi non può frequentare.</w:t>
      </w:r>
    </w:p>
    <w:p w14:paraId="7C316E3D" w14:textId="77777777" w:rsidR="00F65071" w:rsidRDefault="00F65071" w:rsidP="00F65071">
      <w:pPr>
        <w:pStyle w:val="Testo1"/>
      </w:pPr>
      <w:r w:rsidRPr="00F65071">
        <w:rPr>
          <w:i/>
        </w:rPr>
        <w:t>Gli studenti che seguiranno l’opzione A,</w:t>
      </w:r>
      <w:r>
        <w:t xml:space="preserve"> dovranno preparare i seguenti materiali:</w:t>
      </w:r>
    </w:p>
    <w:p w14:paraId="0F5F0F0D" w14:textId="77777777" w:rsidR="00F65071" w:rsidRPr="008F3766" w:rsidRDefault="00F65071" w:rsidP="00A35A1F">
      <w:pPr>
        <w:pStyle w:val="Testo1"/>
        <w:spacing w:before="0"/>
      </w:pPr>
      <w:r w:rsidRPr="008F3766">
        <w:t>Testi obbligatori:</w:t>
      </w:r>
    </w:p>
    <w:p w14:paraId="4CD126FC" w14:textId="77777777" w:rsidR="00F65071" w:rsidRDefault="00F65071" w:rsidP="00A35A1F">
      <w:pPr>
        <w:pStyle w:val="Testo1"/>
        <w:spacing w:before="0"/>
      </w:pPr>
      <w:r>
        <w:t>A</w:t>
      </w:r>
      <w:r w:rsidRPr="00F65071">
        <w:t>ppunti</w:t>
      </w:r>
      <w:r>
        <w:t xml:space="preserve"> del corso.</w:t>
      </w:r>
    </w:p>
    <w:p w14:paraId="144518CD" w14:textId="796F7818" w:rsidR="00F65071" w:rsidRPr="00187E85" w:rsidRDefault="006779F9" w:rsidP="00187E85">
      <w:pPr>
        <w:pStyle w:val="Testo1"/>
        <w:spacing w:before="0" w:line="240" w:lineRule="atLeas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 xml:space="preserve">R. </w:t>
      </w:r>
      <w:r w:rsidR="00F43611" w:rsidRPr="00187E85">
        <w:rPr>
          <w:smallCaps/>
          <w:spacing w:val="-5"/>
          <w:szCs w:val="18"/>
        </w:rPr>
        <w:t>Bichi (</w:t>
      </w:r>
      <w:r w:rsidR="00F43611" w:rsidRPr="00187E85">
        <w:rPr>
          <w:spacing w:val="-5"/>
          <w:szCs w:val="18"/>
        </w:rPr>
        <w:t>a cura di</w:t>
      </w:r>
      <w:r w:rsidR="00F43611" w:rsidRPr="00187E85">
        <w:rPr>
          <w:smallCaps/>
          <w:spacing w:val="-5"/>
          <w:szCs w:val="18"/>
        </w:rPr>
        <w:t xml:space="preserve">), </w:t>
      </w:r>
      <w:r w:rsidR="00F43611" w:rsidRPr="00187E85">
        <w:rPr>
          <w:i/>
          <w:iCs/>
          <w:spacing w:val="-5"/>
          <w:szCs w:val="18"/>
        </w:rPr>
        <w:t>Manuale di Sociologia generale</w:t>
      </w:r>
      <w:r w:rsidR="00F43611" w:rsidRPr="00187E85">
        <w:rPr>
          <w:smallCaps/>
          <w:spacing w:val="-5"/>
          <w:szCs w:val="18"/>
        </w:rPr>
        <w:t xml:space="preserve">, </w:t>
      </w:r>
      <w:r w:rsidR="00F43611" w:rsidRPr="00187E85">
        <w:rPr>
          <w:spacing w:val="-5"/>
          <w:szCs w:val="18"/>
        </w:rPr>
        <w:t>Vita e Pensiero</w:t>
      </w:r>
      <w:r w:rsidR="00F43611" w:rsidRPr="00187E85">
        <w:rPr>
          <w:smallCaps/>
          <w:spacing w:val="-5"/>
          <w:szCs w:val="18"/>
        </w:rPr>
        <w:t xml:space="preserve">, </w:t>
      </w:r>
      <w:r w:rsidR="00F43611" w:rsidRPr="00187E85">
        <w:rPr>
          <w:spacing w:val="-5"/>
          <w:szCs w:val="18"/>
        </w:rPr>
        <w:t>Milano</w:t>
      </w:r>
      <w:r w:rsidR="00187E85">
        <w:rPr>
          <w:spacing w:val="-5"/>
          <w:szCs w:val="18"/>
        </w:rPr>
        <w:t>, 2022</w:t>
      </w:r>
      <w:r>
        <w:rPr>
          <w:spacing w:val="-5"/>
          <w:szCs w:val="18"/>
        </w:rPr>
        <w:t>.</w:t>
      </w:r>
      <w:r w:rsidR="00D6720D">
        <w:rPr>
          <w:spacing w:val="-5"/>
          <w:szCs w:val="18"/>
        </w:rPr>
        <w:t xml:space="preserve"> </w:t>
      </w:r>
      <w:hyperlink r:id="rId9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D536E8" w14:textId="77777777" w:rsidR="00F65071" w:rsidRPr="008F3766" w:rsidRDefault="00F65071" w:rsidP="00A35A1F">
      <w:pPr>
        <w:pStyle w:val="Testo1"/>
        <w:spacing w:before="0"/>
      </w:pPr>
      <w:r w:rsidRPr="008F3766">
        <w:t xml:space="preserve">Un testo a scelta tra i seguenti: </w:t>
      </w:r>
    </w:p>
    <w:p w14:paraId="43210AA5" w14:textId="730D7C6C" w:rsidR="00F65071" w:rsidRPr="00410280" w:rsidRDefault="00F65071" w:rsidP="00F65071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>Istituto Giuseppe Toniolo,</w:t>
      </w:r>
      <w:r w:rsidRPr="00410280">
        <w:rPr>
          <w:i/>
          <w:spacing w:val="-5"/>
          <w:szCs w:val="18"/>
        </w:rPr>
        <w:t xml:space="preserve"> La condizione giovanile in Italia. Rapporto giovani 20</w:t>
      </w:r>
      <w:r w:rsidR="00BC3A98" w:rsidRPr="00410280">
        <w:rPr>
          <w:i/>
          <w:spacing w:val="-5"/>
          <w:szCs w:val="18"/>
        </w:rPr>
        <w:t>21</w:t>
      </w:r>
      <w:r w:rsidRPr="00410280">
        <w:rPr>
          <w:i/>
          <w:spacing w:val="-5"/>
          <w:szCs w:val="18"/>
        </w:rPr>
        <w:t>,</w:t>
      </w:r>
      <w:r w:rsidRPr="00410280">
        <w:rPr>
          <w:spacing w:val="-5"/>
          <w:szCs w:val="18"/>
        </w:rPr>
        <w:t xml:space="preserve"> Il Mulino, Bologna, 20</w:t>
      </w:r>
      <w:r w:rsidR="00F43611" w:rsidRPr="00410280">
        <w:rPr>
          <w:spacing w:val="-5"/>
          <w:szCs w:val="18"/>
        </w:rPr>
        <w:t>22</w:t>
      </w:r>
      <w:r w:rsidRPr="00410280">
        <w:rPr>
          <w:spacing w:val="-5"/>
          <w:szCs w:val="18"/>
        </w:rPr>
        <w:t>.</w:t>
      </w:r>
      <w:r w:rsidR="007E776E" w:rsidRPr="00410280">
        <w:rPr>
          <w:spacing w:val="-5"/>
          <w:szCs w:val="18"/>
        </w:rPr>
        <w:t xml:space="preserve"> </w:t>
      </w:r>
      <w:hyperlink r:id="rId10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B8139F" w14:textId="59376762" w:rsidR="00903D15" w:rsidRPr="00410280" w:rsidRDefault="00187E85" w:rsidP="00903D15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lastRenderedPageBreak/>
        <w:t>F. Biolcati-</w:t>
      </w:r>
      <w:r w:rsidR="00410280" w:rsidRPr="00410280">
        <w:rPr>
          <w:smallCaps/>
          <w:spacing w:val="-5"/>
          <w:szCs w:val="18"/>
        </w:rPr>
        <w:t xml:space="preserve">G. Rovati-P.Segatti,  </w:t>
      </w:r>
      <w:r w:rsidR="00410280" w:rsidRPr="00410280">
        <w:rPr>
          <w:i/>
          <w:iCs/>
          <w:spacing w:val="-5"/>
          <w:szCs w:val="18"/>
        </w:rPr>
        <w:t>Come cambiano gli italiani</w:t>
      </w:r>
      <w:r w:rsidR="00410280" w:rsidRPr="00410280">
        <w:rPr>
          <w:spacing w:val="-5"/>
          <w:szCs w:val="18"/>
        </w:rPr>
        <w:t>.</w:t>
      </w:r>
      <w:r w:rsidR="00410280" w:rsidRPr="00410280">
        <w:rPr>
          <w:i/>
          <w:iCs/>
          <w:spacing w:val="-5"/>
          <w:szCs w:val="18"/>
        </w:rPr>
        <w:t xml:space="preserve"> Valori e atteggiamenti dagli anni Ottanta a oggi</w:t>
      </w:r>
      <w:r w:rsidR="00410280" w:rsidRPr="00410280">
        <w:rPr>
          <w:spacing w:val="-5"/>
          <w:szCs w:val="18"/>
        </w:rPr>
        <w:t>, Il Mulino, Bologna, 202</w:t>
      </w:r>
      <w:r w:rsidR="00BB223A">
        <w:rPr>
          <w:spacing w:val="-5"/>
          <w:szCs w:val="18"/>
        </w:rPr>
        <w:t>0.</w:t>
      </w:r>
      <w:r w:rsidR="00D6720D">
        <w:rPr>
          <w:spacing w:val="-5"/>
          <w:szCs w:val="18"/>
        </w:rPr>
        <w:t xml:space="preserve"> </w:t>
      </w:r>
      <w:hyperlink r:id="rId11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D5A90F" w14:textId="14273D5D" w:rsidR="00903D15" w:rsidRPr="00410280" w:rsidRDefault="00410280" w:rsidP="00903D15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 xml:space="preserve">Z. </w:t>
      </w:r>
      <w:r w:rsidR="00903D15" w:rsidRPr="00410280">
        <w:rPr>
          <w:smallCaps/>
          <w:spacing w:val="-5"/>
          <w:szCs w:val="18"/>
        </w:rPr>
        <w:t>Bauman,</w:t>
      </w:r>
      <w:r w:rsidR="00903D15" w:rsidRPr="00410280">
        <w:rPr>
          <w:i/>
          <w:spacing w:val="-5"/>
          <w:szCs w:val="18"/>
        </w:rPr>
        <w:t xml:space="preserve"> Modernità Liquida,</w:t>
      </w:r>
      <w:r w:rsidR="00903D15" w:rsidRPr="00410280">
        <w:rPr>
          <w:spacing w:val="-5"/>
          <w:szCs w:val="18"/>
        </w:rPr>
        <w:t xml:space="preserve"> Laterza, Roma, 2006. </w:t>
      </w:r>
      <w:r w:rsidR="00D6720D">
        <w:rPr>
          <w:spacing w:val="-5"/>
          <w:szCs w:val="18"/>
        </w:rPr>
        <w:t xml:space="preserve"> </w:t>
      </w:r>
      <w:hyperlink r:id="rId12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A24570" w14:textId="77777777" w:rsidR="00F65071" w:rsidRDefault="00F65071" w:rsidP="00F65071">
      <w:pPr>
        <w:pStyle w:val="Testo1"/>
      </w:pPr>
      <w:r w:rsidRPr="00F65071">
        <w:rPr>
          <w:i/>
        </w:rPr>
        <w:t>Gli studenti che seguiranno l’opzione B,</w:t>
      </w:r>
      <w:r>
        <w:t xml:space="preserve"> dovranno preparare i seguenti materiali:</w:t>
      </w:r>
    </w:p>
    <w:p w14:paraId="1D4ED04D" w14:textId="77777777" w:rsidR="00F65071" w:rsidRPr="008F3766" w:rsidRDefault="00F65071" w:rsidP="00A35A1F">
      <w:pPr>
        <w:pStyle w:val="Testo1"/>
        <w:spacing w:before="0"/>
      </w:pPr>
      <w:r w:rsidRPr="008F3766">
        <w:t>Testi obbligatori:</w:t>
      </w:r>
    </w:p>
    <w:p w14:paraId="718202E2" w14:textId="75E86511" w:rsidR="00F65071" w:rsidRPr="00410280" w:rsidRDefault="00410280" w:rsidP="00F43611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 xml:space="preserve">R. </w:t>
      </w:r>
      <w:r w:rsidR="00F43611" w:rsidRPr="00410280">
        <w:rPr>
          <w:smallCaps/>
          <w:spacing w:val="-5"/>
          <w:szCs w:val="18"/>
        </w:rPr>
        <w:t>Bichi (</w:t>
      </w:r>
      <w:r w:rsidR="00F43611" w:rsidRPr="006779F9">
        <w:rPr>
          <w:spacing w:val="-5"/>
          <w:szCs w:val="18"/>
        </w:rPr>
        <w:t>a cura di</w:t>
      </w:r>
      <w:r w:rsidR="00F43611" w:rsidRPr="00410280">
        <w:rPr>
          <w:smallCaps/>
          <w:spacing w:val="-5"/>
          <w:szCs w:val="18"/>
        </w:rPr>
        <w:t xml:space="preserve">), </w:t>
      </w:r>
      <w:r w:rsidR="00F43611" w:rsidRPr="006779F9">
        <w:rPr>
          <w:spacing w:val="-5"/>
          <w:szCs w:val="18"/>
        </w:rPr>
        <w:t>Manuale di Sociologia generale, Vita e Pensiero, Milano</w:t>
      </w:r>
      <w:r w:rsidR="006779F9">
        <w:rPr>
          <w:spacing w:val="-5"/>
          <w:szCs w:val="18"/>
        </w:rPr>
        <w:t>, 2022</w:t>
      </w:r>
      <w:r w:rsidR="00F43611" w:rsidRPr="00410280">
        <w:rPr>
          <w:smallCaps/>
          <w:spacing w:val="-5"/>
          <w:szCs w:val="18"/>
        </w:rPr>
        <w:t>.</w:t>
      </w:r>
      <w:r w:rsidR="00D6720D">
        <w:rPr>
          <w:smallCaps/>
          <w:spacing w:val="-5"/>
          <w:szCs w:val="18"/>
        </w:rPr>
        <w:t xml:space="preserve"> </w:t>
      </w:r>
      <w:hyperlink r:id="rId13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1074D1" w14:textId="7EE7AE15" w:rsidR="00410280" w:rsidRPr="00410280" w:rsidRDefault="00410280" w:rsidP="00410280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 xml:space="preserve">F. Biolcati-G. Rovati-P.Segatti,  </w:t>
      </w:r>
      <w:r w:rsidRPr="00410280">
        <w:rPr>
          <w:i/>
          <w:iCs/>
          <w:spacing w:val="-5"/>
          <w:szCs w:val="18"/>
        </w:rPr>
        <w:t>Come cambiano gli italiani</w:t>
      </w:r>
      <w:r w:rsidRPr="00410280">
        <w:rPr>
          <w:spacing w:val="-5"/>
          <w:szCs w:val="18"/>
        </w:rPr>
        <w:t>.</w:t>
      </w:r>
      <w:r w:rsidRPr="00410280">
        <w:rPr>
          <w:i/>
          <w:iCs/>
          <w:spacing w:val="-5"/>
          <w:szCs w:val="18"/>
        </w:rPr>
        <w:t xml:space="preserve"> Valori e atteggiamenti dagli anni Ottanta a oggi</w:t>
      </w:r>
      <w:r w:rsidRPr="00410280">
        <w:rPr>
          <w:spacing w:val="-5"/>
          <w:szCs w:val="18"/>
        </w:rPr>
        <w:t>, Il Mulino, Bologna, 202</w:t>
      </w:r>
      <w:r w:rsidR="00BB223A">
        <w:rPr>
          <w:spacing w:val="-5"/>
          <w:szCs w:val="18"/>
        </w:rPr>
        <w:t>0.</w:t>
      </w:r>
      <w:r w:rsidR="00D6720D">
        <w:rPr>
          <w:spacing w:val="-5"/>
          <w:szCs w:val="18"/>
        </w:rPr>
        <w:t xml:space="preserve"> </w:t>
      </w:r>
      <w:hyperlink r:id="rId14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761E8E" w14:textId="7446BAB2" w:rsidR="00F65071" w:rsidRPr="00410280" w:rsidRDefault="00410280" w:rsidP="00F65071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 xml:space="preserve">Z. </w:t>
      </w:r>
      <w:r w:rsidR="00F65071" w:rsidRPr="00410280">
        <w:rPr>
          <w:smallCaps/>
          <w:spacing w:val="-5"/>
          <w:szCs w:val="18"/>
        </w:rPr>
        <w:t>Bauman,</w:t>
      </w:r>
      <w:r w:rsidR="00A35A1F" w:rsidRPr="00410280">
        <w:rPr>
          <w:i/>
          <w:spacing w:val="-5"/>
          <w:szCs w:val="18"/>
        </w:rPr>
        <w:t xml:space="preserve"> </w:t>
      </w:r>
      <w:r w:rsidR="00F65071" w:rsidRPr="00410280">
        <w:rPr>
          <w:i/>
          <w:spacing w:val="-5"/>
          <w:szCs w:val="18"/>
        </w:rPr>
        <w:t>Modernità Liquida,</w:t>
      </w:r>
      <w:r w:rsidR="00F65071" w:rsidRPr="00410280">
        <w:rPr>
          <w:spacing w:val="-5"/>
          <w:szCs w:val="18"/>
        </w:rPr>
        <w:t xml:space="preserve"> Laterza, Roma, 2006.</w:t>
      </w:r>
      <w:r w:rsidR="007E776E" w:rsidRPr="00410280">
        <w:rPr>
          <w:spacing w:val="-5"/>
          <w:szCs w:val="18"/>
        </w:rPr>
        <w:t xml:space="preserve"> </w:t>
      </w:r>
      <w:r w:rsidR="00D6720D">
        <w:rPr>
          <w:spacing w:val="-5"/>
          <w:szCs w:val="18"/>
        </w:rPr>
        <w:t xml:space="preserve"> </w:t>
      </w:r>
      <w:hyperlink r:id="rId15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7EF2D2" w14:textId="65D0E3F1" w:rsidR="00F65071" w:rsidRPr="00410280" w:rsidRDefault="00F65071" w:rsidP="00F65071">
      <w:pPr>
        <w:pStyle w:val="Testo1"/>
        <w:spacing w:before="0" w:line="240" w:lineRule="atLeast"/>
        <w:rPr>
          <w:spacing w:val="-5"/>
          <w:szCs w:val="18"/>
        </w:rPr>
      </w:pPr>
      <w:r w:rsidRPr="00410280">
        <w:rPr>
          <w:smallCaps/>
          <w:spacing w:val="-5"/>
          <w:szCs w:val="18"/>
        </w:rPr>
        <w:t>Istituto Giuseppe Toniolo,</w:t>
      </w:r>
      <w:r w:rsidRPr="00410280">
        <w:rPr>
          <w:i/>
          <w:spacing w:val="-5"/>
          <w:szCs w:val="18"/>
        </w:rPr>
        <w:t xml:space="preserve"> La condizione giovanile in Italia. Rapporto giovani 20</w:t>
      </w:r>
      <w:r w:rsidR="00F43611" w:rsidRPr="00410280">
        <w:rPr>
          <w:i/>
          <w:spacing w:val="-5"/>
          <w:szCs w:val="18"/>
        </w:rPr>
        <w:t>21</w:t>
      </w:r>
      <w:r w:rsidRPr="00410280">
        <w:rPr>
          <w:i/>
          <w:spacing w:val="-5"/>
          <w:szCs w:val="18"/>
        </w:rPr>
        <w:t>,</w:t>
      </w:r>
      <w:r w:rsidRPr="00410280">
        <w:rPr>
          <w:spacing w:val="-5"/>
          <w:szCs w:val="18"/>
        </w:rPr>
        <w:t xml:space="preserve"> Il Mulino, Bologna, 20</w:t>
      </w:r>
      <w:r w:rsidR="00F43611" w:rsidRPr="00410280">
        <w:rPr>
          <w:spacing w:val="-5"/>
          <w:szCs w:val="18"/>
        </w:rPr>
        <w:t>22</w:t>
      </w:r>
      <w:r w:rsidRPr="00410280">
        <w:rPr>
          <w:spacing w:val="-5"/>
          <w:szCs w:val="18"/>
        </w:rPr>
        <w:t>.</w:t>
      </w:r>
      <w:r w:rsidR="00D6720D">
        <w:rPr>
          <w:spacing w:val="-5"/>
          <w:szCs w:val="18"/>
        </w:rPr>
        <w:t xml:space="preserve"> </w:t>
      </w:r>
      <w:hyperlink r:id="rId16" w:history="1">
        <w:r w:rsidR="00D6720D" w:rsidRPr="00D672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43635D5" w14:textId="77777777" w:rsidR="00F65071" w:rsidRDefault="00F65071" w:rsidP="00F650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BC1A87" w14:textId="77777777" w:rsidR="00F65071" w:rsidRDefault="00F65071" w:rsidP="00F65071">
      <w:pPr>
        <w:pStyle w:val="Testo2"/>
      </w:pPr>
      <w:r>
        <w:t>Lezioni in aula, seminari ed esercitazioni. Per queste ultime verrà attivata la piattaforma Blackboard, prevedendo anche l’apertura di forum di discussione on line.</w:t>
      </w:r>
    </w:p>
    <w:p w14:paraId="615260F7" w14:textId="77777777" w:rsidR="00F65071" w:rsidRDefault="00F65071" w:rsidP="00F65071">
      <w:pPr>
        <w:pStyle w:val="Testo2"/>
      </w:pPr>
      <w:r>
        <w:t>Durante l'anno accademico, nel secondo semestre, verranno inoltre organizzati seminari facoltativi attinenti gli approfondimenti tematici.</w:t>
      </w:r>
    </w:p>
    <w:p w14:paraId="305EDF37" w14:textId="77777777" w:rsidR="00F65071" w:rsidRPr="00F65071" w:rsidRDefault="00F65071" w:rsidP="00F650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A601A5" w14:textId="77777777" w:rsidR="00F65071" w:rsidRPr="0041674B" w:rsidRDefault="00F65071" w:rsidP="00F65071">
      <w:pPr>
        <w:pStyle w:val="Testo2"/>
      </w:pPr>
      <w:r w:rsidRPr="0041674B">
        <w:t xml:space="preserve">I risultati di apprendimento attesi </w:t>
      </w:r>
      <w:r>
        <w:t xml:space="preserve">(RAA) </w:t>
      </w:r>
      <w:r w:rsidRPr="0041674B">
        <w:t>riguardano:</w:t>
      </w:r>
    </w:p>
    <w:p w14:paraId="7599E769" w14:textId="77777777" w:rsidR="00F65071" w:rsidRPr="0041674B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41674B">
        <w:t>la conoscenza del pensiero dei principali esponenti della disciplina sociologica e delle relat</w:t>
      </w:r>
      <w:r>
        <w:t>ive scuole di pensiero (per il 4</w:t>
      </w:r>
      <w:r w:rsidRPr="0041674B">
        <w:t>0%),</w:t>
      </w:r>
    </w:p>
    <w:p w14:paraId="2C4FAA7F" w14:textId="77777777" w:rsidR="00F65071" w:rsidRPr="0041674B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>
        <w:t>la capacità di operare connessioni tra le scuole di pensiero sociologiche (per il 10%),</w:t>
      </w:r>
    </w:p>
    <w:p w14:paraId="074C8DA7" w14:textId="77777777" w:rsidR="00F65071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>hiave della disciplina (per il 4</w:t>
      </w:r>
      <w:r w:rsidRPr="0041674B">
        <w:t xml:space="preserve">0%), </w:t>
      </w:r>
    </w:p>
    <w:p w14:paraId="1EE2E609" w14:textId="77777777" w:rsidR="00F65071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>
        <w:t xml:space="preserve">la capacità </w:t>
      </w:r>
      <w:r w:rsidRPr="0041674B">
        <w:t xml:space="preserve">di </w:t>
      </w:r>
      <w:r>
        <w:t>decrivere e esaminare criticamente</w:t>
      </w:r>
      <w:r w:rsidRPr="0041674B">
        <w:t xml:space="preserve"> i principali fenomeni della so</w:t>
      </w:r>
      <w:r>
        <w:t>cietà contemporanea (per il 1</w:t>
      </w:r>
      <w:r w:rsidRPr="0041674B">
        <w:t>0%)</w:t>
      </w:r>
    </w:p>
    <w:p w14:paraId="019F9AC0" w14:textId="77777777" w:rsidR="00F65071" w:rsidRPr="00F65071" w:rsidRDefault="00F65071" w:rsidP="00A35A1F">
      <w:pPr>
        <w:pStyle w:val="Testo2"/>
        <w:spacing w:before="120"/>
        <w:rPr>
          <w:i/>
        </w:rPr>
      </w:pPr>
      <w:r w:rsidRPr="00F65071">
        <w:rPr>
          <w:i/>
        </w:rPr>
        <w:t>Per gli studenti che seguono l’opzione A:</w:t>
      </w:r>
    </w:p>
    <w:p w14:paraId="6300630F" w14:textId="77777777" w:rsidR="00F65071" w:rsidRDefault="00F65071" w:rsidP="00F65071">
      <w:pPr>
        <w:pStyle w:val="Testo2"/>
      </w:pPr>
      <w:r>
        <w:t>L</w:t>
      </w:r>
      <w:r w:rsidRPr="0073542B">
        <w:t>’esame si svolge in forma scritta</w:t>
      </w:r>
      <w:r>
        <w:t xml:space="preserve"> mediante un’unica prova e potrà essere sostenuto alla fine del secondo semestre, con possibilità di preappello</w:t>
      </w:r>
      <w:r w:rsidRPr="0073542B">
        <w:t xml:space="preserve">. </w:t>
      </w:r>
      <w:r>
        <w:t>La prova verificherà i risultati di apprendimento nelle proporzioni definite al punto “Risultati di apprendimento attesi”.</w:t>
      </w:r>
    </w:p>
    <w:p w14:paraId="20E50FD8" w14:textId="77777777" w:rsidR="00F65071" w:rsidRDefault="00F65071" w:rsidP="00F65071">
      <w:pPr>
        <w:pStyle w:val="Testo2"/>
      </w:pPr>
      <w:r>
        <w:t>La prova scritta avrà</w:t>
      </w:r>
      <w:r w:rsidRPr="0073542B">
        <w:t xml:space="preserve"> la </w:t>
      </w:r>
      <w:r>
        <w:t>seguente</w:t>
      </w:r>
      <w:r w:rsidRPr="0073542B">
        <w:t xml:space="preserve"> struttura: </w:t>
      </w:r>
    </w:p>
    <w:p w14:paraId="0E9D84CC" w14:textId="77777777" w:rsidR="00F65071" w:rsidRPr="00A35A1F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A35A1F">
        <w:t>18 domande a ventaglio di risposte prefissate (test multiple choice), ognuna delle quali assegna 2 punti;</w:t>
      </w:r>
    </w:p>
    <w:p w14:paraId="4BFC49D8" w14:textId="77777777" w:rsidR="00F65071" w:rsidRPr="00A35A1F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A35A1F">
        <w:t>4 domande a risposta aperta, ognuna delle quali assegna da 0 a 3 punti.</w:t>
      </w:r>
    </w:p>
    <w:p w14:paraId="28A9C51A" w14:textId="77777777" w:rsidR="00F65071" w:rsidRPr="00D91684" w:rsidRDefault="00F65071" w:rsidP="00F65071">
      <w:pPr>
        <w:pStyle w:val="Testo2"/>
        <w:rPr>
          <w:i/>
        </w:rPr>
      </w:pPr>
      <w:r>
        <w:t>Il punteggio massimo ottenibile (PMO) sarà dunque 48. Il punteggio realizzato (PR) verrà messo in relazione con il voto massimo ottenibile (VMO) secondo la seguente formula: PR/PMO×VMO. Il VMO è 31= 30 e lode.</w:t>
      </w:r>
    </w:p>
    <w:p w14:paraId="13FB43ED" w14:textId="77777777" w:rsidR="00F65071" w:rsidRDefault="00F65071" w:rsidP="00F65071">
      <w:pPr>
        <w:pStyle w:val="Testo2"/>
      </w:pPr>
      <w:r w:rsidRPr="0073542B">
        <w:t xml:space="preserve">Lo </w:t>
      </w:r>
      <w:r>
        <w:t>studente avrà 45</w:t>
      </w:r>
      <w:r w:rsidRPr="0073542B">
        <w:t xml:space="preserve"> minuti di tempo per </w:t>
      </w:r>
      <w:r>
        <w:t>completare la prova</w:t>
      </w:r>
      <w:r w:rsidRPr="0073542B">
        <w:t>.</w:t>
      </w:r>
      <w:r>
        <w:t xml:space="preserve"> </w:t>
      </w:r>
    </w:p>
    <w:p w14:paraId="29698788" w14:textId="5D61031A" w:rsidR="00F65071" w:rsidRPr="0041674B" w:rsidRDefault="00F65071" w:rsidP="00F65071">
      <w:pPr>
        <w:pStyle w:val="Testo2"/>
      </w:pPr>
      <w:r>
        <w:rPr>
          <w:rFonts w:ascii="Times New Roman" w:hAnsi="Times New Roman"/>
        </w:rPr>
        <w:t>Le domande a risposta chiusa sono tese a sondare il livello di</w:t>
      </w:r>
      <w:r>
        <w:t xml:space="preserve"> </w:t>
      </w:r>
      <w:r w:rsidRPr="0041674B">
        <w:t xml:space="preserve">conoscenza del pensiero dei principali esponenti della disciplina sociologica </w:t>
      </w:r>
      <w:r>
        <w:t xml:space="preserve">(40% RAA) </w:t>
      </w:r>
      <w:r w:rsidRPr="0041674B">
        <w:t>e delle relat</w:t>
      </w:r>
      <w:r>
        <w:t xml:space="preserve">ive scuole di </w:t>
      </w:r>
      <w:r>
        <w:lastRenderedPageBreak/>
        <w:t>pensiero e</w:t>
      </w:r>
      <w:r>
        <w:rPr>
          <w:rFonts w:ascii="Times New Roman" w:hAnsi="Times New Roman"/>
        </w:rPr>
        <w:t xml:space="preserve"> </w:t>
      </w:r>
      <w:r>
        <w:t xml:space="preserve">la capacità di operare tra loro connessioni (10% RAA) e a valutare </w:t>
      </w: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>hiave della disciplina (25% RAA</w:t>
      </w:r>
      <w:r w:rsidR="00AF5EA5">
        <w:t>)</w:t>
      </w:r>
      <w:r>
        <w:t>.</w:t>
      </w:r>
    </w:p>
    <w:p w14:paraId="50813B3B" w14:textId="1C5D2425" w:rsidR="00F65071" w:rsidRDefault="00F65071" w:rsidP="0091353A">
      <w:pPr>
        <w:pStyle w:val="Testo2"/>
        <w:spacing w:after="120"/>
      </w:pPr>
      <w:r>
        <w:t xml:space="preserve">Le domande aperte valuteranno </w:t>
      </w: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 xml:space="preserve">hiave della disciplina (15% RAA) e la capacità </w:t>
      </w:r>
      <w:r w:rsidRPr="0041674B">
        <w:t xml:space="preserve">di </w:t>
      </w:r>
      <w:r>
        <w:t>decrivere e esaminare criticamente</w:t>
      </w:r>
      <w:r w:rsidRPr="0041674B">
        <w:t xml:space="preserve"> i principali fenomeni della so</w:t>
      </w:r>
      <w:r>
        <w:t>cietà contemporanea (10</w:t>
      </w:r>
      <w:r w:rsidR="00F6006A">
        <w:t>%</w:t>
      </w:r>
      <w:r>
        <w:t xml:space="preserve"> RAA), secondo la seguente griglia di valutazione.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6"/>
        <w:gridCol w:w="1037"/>
        <w:gridCol w:w="1386"/>
        <w:gridCol w:w="1450"/>
        <w:gridCol w:w="1511"/>
      </w:tblGrid>
      <w:tr w:rsidR="00F65071" w14:paraId="222FBDF3" w14:textId="77777777" w:rsidTr="000D2E54">
        <w:tc>
          <w:tcPr>
            <w:tcW w:w="1296" w:type="dxa"/>
          </w:tcPr>
          <w:p w14:paraId="08CA2393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Livello</w:t>
            </w:r>
          </w:p>
        </w:tc>
        <w:tc>
          <w:tcPr>
            <w:tcW w:w="1037" w:type="dxa"/>
          </w:tcPr>
          <w:p w14:paraId="4DC36969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Avanzato</w:t>
            </w:r>
          </w:p>
          <w:p w14:paraId="5CAFC50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(1,5 punti)</w:t>
            </w:r>
          </w:p>
          <w:p w14:paraId="5E2655E3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14:paraId="7FB9D614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Intermedio</w:t>
            </w:r>
          </w:p>
          <w:p w14:paraId="1756BDB2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(1 punto)</w:t>
            </w:r>
          </w:p>
          <w:p w14:paraId="75B8160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231E582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Base</w:t>
            </w:r>
          </w:p>
          <w:p w14:paraId="3F3E737C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(0,5 punti)</w:t>
            </w:r>
          </w:p>
          <w:p w14:paraId="59E12BEB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14:paraId="2E5EC857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Base non raggiunto</w:t>
            </w:r>
          </w:p>
          <w:p w14:paraId="05386FA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(0 punti)</w:t>
            </w:r>
          </w:p>
          <w:p w14:paraId="611FF610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</w:tr>
      <w:tr w:rsidR="00F65071" w14:paraId="6643A020" w14:textId="77777777" w:rsidTr="000D2E54">
        <w:tc>
          <w:tcPr>
            <w:tcW w:w="1296" w:type="dxa"/>
          </w:tcPr>
          <w:p w14:paraId="1C96C99A" w14:textId="77777777" w:rsidR="00F65071" w:rsidRPr="0091353A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Completezza, coerenza e grado di sintesi della risposta</w:t>
            </w:r>
          </w:p>
        </w:tc>
        <w:tc>
          <w:tcPr>
            <w:tcW w:w="1037" w:type="dxa"/>
          </w:tcPr>
          <w:p w14:paraId="5FC0E6DE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Completa, coerente e precisa, rielaborata</w:t>
            </w:r>
          </w:p>
        </w:tc>
        <w:tc>
          <w:tcPr>
            <w:tcW w:w="1386" w:type="dxa"/>
          </w:tcPr>
          <w:p w14:paraId="0665CF42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Articolata, sostanzialmente precisa e corretta</w:t>
            </w:r>
          </w:p>
        </w:tc>
        <w:tc>
          <w:tcPr>
            <w:tcW w:w="1450" w:type="dxa"/>
          </w:tcPr>
          <w:p w14:paraId="0ACCCD14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Essenziale, schematica, ma non sempre precisa</w:t>
            </w:r>
          </w:p>
        </w:tc>
        <w:tc>
          <w:tcPr>
            <w:tcW w:w="1511" w:type="dxa"/>
          </w:tcPr>
          <w:p w14:paraId="6DE43149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Imprecisa, Superficiale, e incompleta, nulla</w:t>
            </w:r>
          </w:p>
        </w:tc>
      </w:tr>
      <w:tr w:rsidR="00F65071" w14:paraId="46AF624D" w14:textId="77777777" w:rsidTr="000D2E54">
        <w:tc>
          <w:tcPr>
            <w:tcW w:w="1296" w:type="dxa"/>
          </w:tcPr>
          <w:p w14:paraId="4B62C6F6" w14:textId="77777777" w:rsidR="00F65071" w:rsidRPr="0091353A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Padronanza del lessico disciplinare</w:t>
            </w:r>
          </w:p>
        </w:tc>
        <w:tc>
          <w:tcPr>
            <w:tcW w:w="1037" w:type="dxa"/>
          </w:tcPr>
          <w:p w14:paraId="2777B551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Ottima, utilizzo puntuale</w:t>
            </w:r>
          </w:p>
        </w:tc>
        <w:tc>
          <w:tcPr>
            <w:tcW w:w="1386" w:type="dxa"/>
          </w:tcPr>
          <w:p w14:paraId="3673B81F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Buona, utilizzo adeguato</w:t>
            </w:r>
          </w:p>
        </w:tc>
        <w:tc>
          <w:tcPr>
            <w:tcW w:w="1450" w:type="dxa"/>
          </w:tcPr>
          <w:p w14:paraId="106B52FC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Sufficiente, utilizzo limitato</w:t>
            </w:r>
          </w:p>
        </w:tc>
        <w:tc>
          <w:tcPr>
            <w:tcW w:w="1511" w:type="dxa"/>
          </w:tcPr>
          <w:p w14:paraId="005B393C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Assente, utilizzo scorretto</w:t>
            </w:r>
          </w:p>
        </w:tc>
      </w:tr>
    </w:tbl>
    <w:p w14:paraId="515B03F5" w14:textId="77777777" w:rsidR="00F65071" w:rsidRPr="00F65071" w:rsidRDefault="00F65071" w:rsidP="00F65071">
      <w:pPr>
        <w:pStyle w:val="Testo2"/>
        <w:spacing w:before="120"/>
      </w:pPr>
      <w:r>
        <w:t>Sia le domande chiuse sia le domande aperte avranno per oggetto gli appunti del corso e la bibliografia sopra indicata (Opzione A).</w:t>
      </w:r>
    </w:p>
    <w:p w14:paraId="2BB3AA04" w14:textId="77777777" w:rsidR="00F65071" w:rsidRPr="00F65071" w:rsidRDefault="00F65071" w:rsidP="00A35A1F">
      <w:pPr>
        <w:pStyle w:val="Testo2"/>
        <w:spacing w:before="120"/>
        <w:rPr>
          <w:i/>
        </w:rPr>
      </w:pPr>
      <w:r w:rsidRPr="00F65071">
        <w:rPr>
          <w:i/>
        </w:rPr>
        <w:t>Per gli studenti che seguono l’opzione B:</w:t>
      </w:r>
    </w:p>
    <w:p w14:paraId="268E3764" w14:textId="77777777" w:rsidR="00F65071" w:rsidRDefault="00F65071" w:rsidP="00F65071">
      <w:pPr>
        <w:pStyle w:val="Testo2"/>
      </w:pPr>
      <w:r>
        <w:t>L</w:t>
      </w:r>
      <w:r w:rsidRPr="0073542B">
        <w:t>’esame si svolge in forma scritta</w:t>
      </w:r>
      <w:r>
        <w:t xml:space="preserve"> mediante un’unica prova</w:t>
      </w:r>
      <w:r w:rsidRPr="0073542B">
        <w:t xml:space="preserve">. </w:t>
      </w:r>
      <w:r>
        <w:t>La prova verificherà i risultati di apprendimento nelle proporzioni definite al punto “Risultati di apprendimento attesi”. La prova scritta avrà</w:t>
      </w:r>
      <w:r w:rsidRPr="0073542B">
        <w:t xml:space="preserve"> la </w:t>
      </w:r>
      <w:r>
        <w:t>stessa</w:t>
      </w:r>
      <w:r w:rsidRPr="0073542B">
        <w:t xml:space="preserve"> struttura</w:t>
      </w:r>
      <w:r>
        <w:t xml:space="preserve"> e metodo di valutazione della prova relativa all’opzione A.</w:t>
      </w:r>
    </w:p>
    <w:p w14:paraId="38EFCC4C" w14:textId="77777777" w:rsidR="00F65071" w:rsidRDefault="00F65071" w:rsidP="00A35A1F">
      <w:pPr>
        <w:pStyle w:val="Testo2"/>
      </w:pPr>
      <w:r>
        <w:t>Sia le domande chiuse sia le domande aperte avranno per oggetto la bibliografia sopra indicata (Opzione B).</w:t>
      </w:r>
    </w:p>
    <w:p w14:paraId="627D58B3" w14:textId="77777777" w:rsidR="00F65071" w:rsidRDefault="0091353A" w:rsidP="009135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C0A3BD" w14:textId="77777777" w:rsidR="0091353A" w:rsidRDefault="0091353A" w:rsidP="0091353A">
      <w:pPr>
        <w:pStyle w:val="Testo2"/>
        <w:spacing w:after="120"/>
      </w:pPr>
      <w:r>
        <w:t>Avendo carattere introduttivo, che conduce a una conoscenza di base, l’insegnamento non necessita di prerequisiti relativi ai contenuti.</w:t>
      </w:r>
    </w:p>
    <w:p w14:paraId="62568C42" w14:textId="77777777" w:rsidR="006910B3" w:rsidRDefault="006910B3" w:rsidP="006910B3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2D4FB0E5" w14:textId="77777777" w:rsidR="0091353A" w:rsidRPr="0085637B" w:rsidRDefault="0091353A" w:rsidP="006910B3">
      <w:pPr>
        <w:pStyle w:val="Testo2"/>
        <w:spacing w:before="120"/>
        <w:rPr>
          <w:i/>
        </w:rPr>
      </w:pPr>
      <w:r w:rsidRPr="0085637B">
        <w:rPr>
          <w:i/>
        </w:rPr>
        <w:t>Orario e luogo di ricevimento</w:t>
      </w:r>
    </w:p>
    <w:p w14:paraId="654210C3" w14:textId="0EBD7ED4" w:rsidR="0091353A" w:rsidRPr="0091353A" w:rsidRDefault="00A35A1F" w:rsidP="0091353A">
      <w:pPr>
        <w:pStyle w:val="Testo2"/>
      </w:pPr>
      <w:r>
        <w:t>Il</w:t>
      </w:r>
      <w:r w:rsidR="0091353A">
        <w:t xml:space="preserve"> Prof.</w:t>
      </w:r>
      <w:r w:rsidR="00F43611">
        <w:t xml:space="preserve">ssa </w:t>
      </w:r>
      <w:r w:rsidR="0091353A">
        <w:t xml:space="preserve">Rita Bichi riceve gli studenti </w:t>
      </w:r>
      <w:r w:rsidR="00F43611">
        <w:t xml:space="preserve">su appuntamento. </w:t>
      </w:r>
      <w:r w:rsidR="0091353A">
        <w:t xml:space="preserve">E-mail: </w:t>
      </w:r>
      <w:r w:rsidR="0091353A" w:rsidRPr="0091353A">
        <w:rPr>
          <w:i/>
        </w:rPr>
        <w:t>rita.bichi@unicatt.it</w:t>
      </w:r>
    </w:p>
    <w:sectPr w:rsidR="0091353A" w:rsidRPr="009135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B1ED" w14:textId="77777777" w:rsidR="00794FE0" w:rsidRDefault="00794FE0" w:rsidP="007E776E">
      <w:pPr>
        <w:spacing w:line="240" w:lineRule="auto"/>
      </w:pPr>
      <w:r>
        <w:separator/>
      </w:r>
    </w:p>
  </w:endnote>
  <w:endnote w:type="continuationSeparator" w:id="0">
    <w:p w14:paraId="6FC9BB7C" w14:textId="77777777" w:rsidR="00794FE0" w:rsidRDefault="00794FE0" w:rsidP="007E7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9B51" w14:textId="77777777" w:rsidR="00794FE0" w:rsidRDefault="00794FE0" w:rsidP="007E776E">
      <w:pPr>
        <w:spacing w:line="240" w:lineRule="auto"/>
      </w:pPr>
      <w:r>
        <w:separator/>
      </w:r>
    </w:p>
  </w:footnote>
  <w:footnote w:type="continuationSeparator" w:id="0">
    <w:p w14:paraId="0E806013" w14:textId="77777777" w:rsidR="00794FE0" w:rsidRDefault="00794FE0" w:rsidP="007E776E">
      <w:pPr>
        <w:spacing w:line="240" w:lineRule="auto"/>
      </w:pPr>
      <w:r>
        <w:continuationSeparator/>
      </w:r>
    </w:p>
  </w:footnote>
  <w:footnote w:id="1">
    <w:p w14:paraId="15D1B7B3" w14:textId="2B00CA4F" w:rsidR="00D6720D" w:rsidRDefault="00D672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658"/>
    <w:multiLevelType w:val="hybridMultilevel"/>
    <w:tmpl w:val="C7708616"/>
    <w:lvl w:ilvl="0" w:tplc="7B6092D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B11"/>
    <w:multiLevelType w:val="hybridMultilevel"/>
    <w:tmpl w:val="8E7CA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92D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942FA"/>
    <w:multiLevelType w:val="hybridMultilevel"/>
    <w:tmpl w:val="6E3C6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8ED"/>
    <w:multiLevelType w:val="hybridMultilevel"/>
    <w:tmpl w:val="C59433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2F18FE"/>
    <w:multiLevelType w:val="hybridMultilevel"/>
    <w:tmpl w:val="28A0E198"/>
    <w:lvl w:ilvl="0" w:tplc="BC3863C0">
      <w:start w:val="14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B82312"/>
    <w:multiLevelType w:val="hybridMultilevel"/>
    <w:tmpl w:val="B5C27D7C"/>
    <w:lvl w:ilvl="0" w:tplc="2FCE3E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E534F"/>
    <w:multiLevelType w:val="hybridMultilevel"/>
    <w:tmpl w:val="9610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90B7B"/>
    <w:multiLevelType w:val="hybridMultilevel"/>
    <w:tmpl w:val="5AB6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B"/>
    <w:rsid w:val="0009398F"/>
    <w:rsid w:val="000964E6"/>
    <w:rsid w:val="000B168B"/>
    <w:rsid w:val="0013412B"/>
    <w:rsid w:val="00187B99"/>
    <w:rsid w:val="00187E85"/>
    <w:rsid w:val="002014DD"/>
    <w:rsid w:val="002C78F4"/>
    <w:rsid w:val="002D5E17"/>
    <w:rsid w:val="0036647F"/>
    <w:rsid w:val="00410280"/>
    <w:rsid w:val="00417FD0"/>
    <w:rsid w:val="004707CB"/>
    <w:rsid w:val="004D1217"/>
    <w:rsid w:val="004D6008"/>
    <w:rsid w:val="00640794"/>
    <w:rsid w:val="006779F9"/>
    <w:rsid w:val="006910B3"/>
    <w:rsid w:val="006F1772"/>
    <w:rsid w:val="00794FE0"/>
    <w:rsid w:val="007E776E"/>
    <w:rsid w:val="008459DD"/>
    <w:rsid w:val="008942E7"/>
    <w:rsid w:val="008A1204"/>
    <w:rsid w:val="00900CCA"/>
    <w:rsid w:val="00903D15"/>
    <w:rsid w:val="0091353A"/>
    <w:rsid w:val="00924B77"/>
    <w:rsid w:val="00940DA2"/>
    <w:rsid w:val="009E055C"/>
    <w:rsid w:val="00A35A1F"/>
    <w:rsid w:val="00A74F6F"/>
    <w:rsid w:val="00A77E8F"/>
    <w:rsid w:val="00A943FC"/>
    <w:rsid w:val="00AD7557"/>
    <w:rsid w:val="00AF5EA5"/>
    <w:rsid w:val="00B50C5D"/>
    <w:rsid w:val="00B51253"/>
    <w:rsid w:val="00B525CC"/>
    <w:rsid w:val="00B541CF"/>
    <w:rsid w:val="00BB223A"/>
    <w:rsid w:val="00BC3A98"/>
    <w:rsid w:val="00BE6AB5"/>
    <w:rsid w:val="00C30E11"/>
    <w:rsid w:val="00D404F2"/>
    <w:rsid w:val="00D6720D"/>
    <w:rsid w:val="00E607E6"/>
    <w:rsid w:val="00F43611"/>
    <w:rsid w:val="00F6006A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7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071"/>
    <w:pPr>
      <w:spacing w:line="240" w:lineRule="exact"/>
      <w:ind w:left="720"/>
      <w:contextualSpacing/>
    </w:pPr>
  </w:style>
  <w:style w:type="table" w:styleId="Grigliatabella">
    <w:name w:val="Table Grid"/>
    <w:basedOn w:val="Tabellanormale"/>
    <w:uiPriority w:val="39"/>
    <w:rsid w:val="00F65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91353A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910B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0B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7E7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776E"/>
  </w:style>
  <w:style w:type="character" w:styleId="Rimandonotaapidipagina">
    <w:name w:val="footnote reference"/>
    <w:basedOn w:val="Carpredefinitoparagrafo"/>
    <w:rsid w:val="007E776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BC3A98"/>
    <w:rPr>
      <w:color w:val="954F72" w:themeColor="followedHyperlink"/>
      <w:u w:val="single"/>
    </w:rPr>
  </w:style>
  <w:style w:type="paragraph" w:customStyle="1" w:styleId="Pa2">
    <w:name w:val="Pa2"/>
    <w:basedOn w:val="Normale"/>
    <w:next w:val="Normale"/>
    <w:uiPriority w:val="99"/>
    <w:rsid w:val="00A943FC"/>
    <w:pPr>
      <w:tabs>
        <w:tab w:val="clear" w:pos="284"/>
      </w:tabs>
      <w:autoSpaceDE w:val="0"/>
      <w:autoSpaceDN w:val="0"/>
      <w:adjustRightInd w:val="0"/>
      <w:spacing w:line="221" w:lineRule="atLeast"/>
      <w:jc w:val="left"/>
    </w:pPr>
    <w:rPr>
      <w:rFonts w:ascii="ITC New Baskerville Std" w:hAnsi="ITC New Baskerville St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071"/>
    <w:pPr>
      <w:spacing w:line="240" w:lineRule="exact"/>
      <w:ind w:left="720"/>
      <w:contextualSpacing/>
    </w:pPr>
  </w:style>
  <w:style w:type="table" w:styleId="Grigliatabella">
    <w:name w:val="Table Grid"/>
    <w:basedOn w:val="Tabellanormale"/>
    <w:uiPriority w:val="39"/>
    <w:rsid w:val="00F65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91353A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910B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0B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7E7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776E"/>
  </w:style>
  <w:style w:type="character" w:styleId="Rimandonotaapidipagina">
    <w:name w:val="footnote reference"/>
    <w:basedOn w:val="Carpredefinitoparagrafo"/>
    <w:rsid w:val="007E776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BC3A98"/>
    <w:rPr>
      <w:color w:val="954F72" w:themeColor="followedHyperlink"/>
      <w:u w:val="single"/>
    </w:rPr>
  </w:style>
  <w:style w:type="paragraph" w:customStyle="1" w:styleId="Pa2">
    <w:name w:val="Pa2"/>
    <w:basedOn w:val="Normale"/>
    <w:next w:val="Normale"/>
    <w:uiPriority w:val="99"/>
    <w:rsid w:val="00A943FC"/>
    <w:pPr>
      <w:tabs>
        <w:tab w:val="clear" w:pos="284"/>
      </w:tabs>
      <w:autoSpaceDE w:val="0"/>
      <w:autoSpaceDN w:val="0"/>
      <w:adjustRightInd w:val="0"/>
      <w:spacing w:line="221" w:lineRule="atLeast"/>
      <w:jc w:val="left"/>
    </w:pPr>
    <w:rPr>
      <w:rFonts w:ascii="ITC New Baskerville Std" w:hAnsi="ITC New Baskerville St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ita-bichi/sociologia-generale-9788834348277-70884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zygmunt-bauman/modernita-liquida-9788842097358-21144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la-condizione-giovanile-in-italia-rapporto-giovani-2022-9788815295514-71049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come-cambiano-gli-italiani-valori-e-atteggiamenti-dagli-anni-ottanta-a-oggi-9788815287489-68903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zygmunt-bauman/modernita-liquida-9788842097358-211448.html" TargetMode="External"/><Relationship Id="rId10" Type="http://schemas.openxmlformats.org/officeDocument/2006/relationships/hyperlink" Target="https://librerie.unicatt.it/scheda-libro/autori-vari/la-condizione-giovanile-in-italia-rapporto-giovani-2022-9788815295514-7104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ta-bichi/sociologia-generale-9788834348277-708841.html" TargetMode="External"/><Relationship Id="rId14" Type="http://schemas.openxmlformats.org/officeDocument/2006/relationships/hyperlink" Target="https://librerie.unicatt.it/scheda-libro/autori-vari/come-cambiano-gli-italiani-valori-e-atteggiamenti-dagli-anni-ottanta-a-oggi-9788815287489-6890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822C-FD8C-4B7A-8254-26059091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1150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2022-07-05T09:50:00Z</dcterms:created>
  <dcterms:modified xsi:type="dcterms:W3CDTF">2022-07-19T12:39:00Z</dcterms:modified>
</cp:coreProperties>
</file>