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E4F6" w14:textId="77777777" w:rsidR="00B4425E" w:rsidRPr="00AE128F" w:rsidRDefault="00B4425E" w:rsidP="00B4425E">
      <w:pPr>
        <w:pStyle w:val="Titolo1"/>
        <w:ind w:left="0" w:firstLine="0"/>
        <w:rPr>
          <w:lang w:val="en-US"/>
        </w:rPr>
      </w:pPr>
      <w:bookmarkStart w:id="0" w:name="OLE_LINK1"/>
      <w:bookmarkStart w:id="1" w:name="OLE_LINK2"/>
      <w:r w:rsidRPr="00AE128F">
        <w:rPr>
          <w:lang w:val="en-US"/>
        </w:rPr>
        <w:t xml:space="preserve">Arabic </w:t>
      </w:r>
      <w:r w:rsidR="0035792B">
        <w:rPr>
          <w:lang w:val="en-US"/>
        </w:rPr>
        <w:t>l</w:t>
      </w:r>
      <w:r w:rsidRPr="00AE128F">
        <w:rPr>
          <w:lang w:val="en-US"/>
        </w:rPr>
        <w:t xml:space="preserve">anguage and </w:t>
      </w:r>
      <w:r w:rsidR="0035792B">
        <w:rPr>
          <w:lang w:val="en-US"/>
        </w:rPr>
        <w:t>c</w:t>
      </w:r>
      <w:r w:rsidRPr="00AE128F">
        <w:rPr>
          <w:lang w:val="en-US"/>
        </w:rPr>
        <w:t>ulture</w:t>
      </w:r>
    </w:p>
    <w:bookmarkEnd w:id="0"/>
    <w:bookmarkEnd w:id="1"/>
    <w:p w14:paraId="47A75F26" w14:textId="77777777" w:rsidR="00B4425E" w:rsidRPr="00AE128F" w:rsidRDefault="00B4425E" w:rsidP="00B4425E">
      <w:pPr>
        <w:pStyle w:val="Titolo2"/>
        <w:rPr>
          <w:lang w:val="en-US"/>
        </w:rPr>
      </w:pPr>
      <w:r>
        <w:rPr>
          <w:lang w:val="en-US"/>
        </w:rPr>
        <w:t xml:space="preserve">Prof. </w:t>
      </w:r>
      <w:r w:rsidRPr="00AE128F">
        <w:rPr>
          <w:lang w:val="en-US"/>
        </w:rPr>
        <w:t>Wael Farouq</w:t>
      </w:r>
    </w:p>
    <w:p w14:paraId="7AFA0DF7" w14:textId="77777777" w:rsidR="00B4425E" w:rsidRPr="00514034" w:rsidRDefault="00B4425E" w:rsidP="00B4425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5F6C2C6" w14:textId="77777777" w:rsidR="00B4425E" w:rsidRPr="0035792B" w:rsidRDefault="00B4425E" w:rsidP="0035792B">
      <w:pPr>
        <w:pStyle w:val="Paragrafoelenco"/>
        <w:numPr>
          <w:ilvl w:val="0"/>
          <w:numId w:val="4"/>
        </w:numPr>
        <w:ind w:left="284" w:hanging="284"/>
        <w:rPr>
          <w:lang w:val="en"/>
        </w:rPr>
      </w:pPr>
      <w:r w:rsidRPr="0035792B">
        <w:rPr>
          <w:lang w:val="en"/>
        </w:rPr>
        <w:t>knowledge and understanding</w:t>
      </w:r>
    </w:p>
    <w:p w14:paraId="469B247C" w14:textId="77777777" w:rsidR="00B4425E" w:rsidRPr="00B4425E" w:rsidRDefault="00B4425E" w:rsidP="0035792B">
      <w:pPr>
        <w:pStyle w:val="Paragrafoelenco"/>
        <w:numPr>
          <w:ilvl w:val="0"/>
          <w:numId w:val="4"/>
        </w:numPr>
        <w:ind w:left="284" w:hanging="284"/>
        <w:rPr>
          <w:lang w:val="en"/>
        </w:rPr>
      </w:pPr>
      <w:r w:rsidRPr="00B4425E">
        <w:rPr>
          <w:lang w:val="en"/>
        </w:rPr>
        <w:t>applying knowledge and understanding</w:t>
      </w:r>
    </w:p>
    <w:p w14:paraId="48D37ADE" w14:textId="77777777" w:rsidR="00B4425E" w:rsidRPr="00B4425E" w:rsidRDefault="00B4425E" w:rsidP="0035792B">
      <w:pPr>
        <w:pStyle w:val="Paragrafoelenco"/>
        <w:numPr>
          <w:ilvl w:val="0"/>
          <w:numId w:val="4"/>
        </w:numPr>
        <w:ind w:left="284" w:hanging="284"/>
        <w:rPr>
          <w:lang w:val="en"/>
        </w:rPr>
      </w:pPr>
      <w:r w:rsidRPr="00B4425E">
        <w:rPr>
          <w:lang w:val="en"/>
        </w:rPr>
        <w:t>communication</w:t>
      </w:r>
    </w:p>
    <w:p w14:paraId="741D7DF9" w14:textId="77777777" w:rsidR="00B4425E" w:rsidRDefault="00B4425E" w:rsidP="00B4425E">
      <w:pPr>
        <w:rPr>
          <w:lang w:val="en-US"/>
        </w:rPr>
      </w:pPr>
      <w:r w:rsidRPr="00AE128F">
        <w:rPr>
          <w:lang w:val="en-US"/>
        </w:rPr>
        <w:t>The course offers an introduction to the Arab Islamic culture by studying its terminology and concepts. This will be done through the analysis of the etymology and the historical evolution, from traditional heritage to modern times, of the meanings of key-terminology in different fields, such as doctrine, politics, economy, history and society. The focus will be on terminology that cannot be translated without considerable loss of meaning, despite its central role in contemporary Arabic Islamic culture.</w:t>
      </w:r>
      <w:r>
        <w:rPr>
          <w:lang w:val="en-US"/>
        </w:rPr>
        <w:t xml:space="preserve"> </w:t>
      </w:r>
    </w:p>
    <w:p w14:paraId="2A76A5CE" w14:textId="77777777" w:rsidR="00B4425E" w:rsidRPr="00331680" w:rsidRDefault="00B4425E" w:rsidP="00B4425E">
      <w:pPr>
        <w:tabs>
          <w:tab w:val="clear" w:pos="284"/>
        </w:tabs>
        <w:spacing w:line="240" w:lineRule="auto"/>
        <w:rPr>
          <w:lang w:val="en-US"/>
        </w:rPr>
      </w:pPr>
      <w:r w:rsidRPr="00331680">
        <w:rPr>
          <w:lang w:val="en-US"/>
        </w:rPr>
        <w:t xml:space="preserve">The course </w:t>
      </w:r>
      <w:r>
        <w:rPr>
          <w:lang w:val="en-US"/>
        </w:rPr>
        <w:t>offers</w:t>
      </w:r>
      <w:r w:rsidRPr="00331680">
        <w:rPr>
          <w:lang w:val="en-US"/>
        </w:rPr>
        <w:t xml:space="preserve"> </w:t>
      </w:r>
      <w:r>
        <w:rPr>
          <w:lang w:val="en-US"/>
        </w:rPr>
        <w:t xml:space="preserve">an introduction </w:t>
      </w:r>
      <w:r w:rsidRPr="00331680">
        <w:rPr>
          <w:lang w:val="en-US"/>
        </w:rPr>
        <w:t xml:space="preserve">as well </w:t>
      </w:r>
      <w:r>
        <w:rPr>
          <w:lang w:val="en-US"/>
        </w:rPr>
        <w:t xml:space="preserve">to Arabic language </w:t>
      </w:r>
      <w:r w:rsidRPr="00331680">
        <w:rPr>
          <w:lang w:val="en-US"/>
        </w:rPr>
        <w:t xml:space="preserve">to </w:t>
      </w:r>
      <w:r>
        <w:rPr>
          <w:lang w:val="en-US"/>
        </w:rPr>
        <w:t>enable students to read and write in Arabic.</w:t>
      </w:r>
    </w:p>
    <w:p w14:paraId="24C39C7D" w14:textId="77777777" w:rsidR="00B4425E" w:rsidRPr="00514034" w:rsidRDefault="00B4425E" w:rsidP="00B4425E">
      <w:pPr>
        <w:spacing w:before="240" w:after="120"/>
        <w:rPr>
          <w:b/>
          <w:i/>
          <w:sz w:val="18"/>
          <w:lang w:val="en-US"/>
        </w:rPr>
      </w:pPr>
      <w:r w:rsidRPr="00514034">
        <w:rPr>
          <w:b/>
          <w:i/>
          <w:sz w:val="18"/>
          <w:lang w:val="en-US"/>
        </w:rPr>
        <w:t>COURSE CONTENT</w:t>
      </w:r>
    </w:p>
    <w:p w14:paraId="7F573A47" w14:textId="77777777" w:rsidR="00B4425E" w:rsidRDefault="00B4425E" w:rsidP="00B4425E">
      <w:pPr>
        <w:rPr>
          <w:lang w:val="en-US"/>
        </w:rPr>
      </w:pPr>
      <w:r>
        <w:rPr>
          <w:lang w:val="en-US"/>
        </w:rPr>
        <w:t xml:space="preserve">30 hours of terminology: </w:t>
      </w:r>
      <w:r w:rsidRPr="00AE128F">
        <w:rPr>
          <w:lang w:val="en-US"/>
        </w:rPr>
        <w:t>The course will analyze the key-terminology in different fields, dividing it according to (1) traditional terminology still in use today, (2) traditional terminology still in use today but with a different meaning and (3) new terminology.</w:t>
      </w:r>
    </w:p>
    <w:p w14:paraId="5063B1F3" w14:textId="77777777" w:rsidR="00B4425E" w:rsidRPr="00331680" w:rsidRDefault="00B4425E" w:rsidP="0035792B">
      <w:pPr>
        <w:tabs>
          <w:tab w:val="clear" w:pos="284"/>
        </w:tabs>
        <w:spacing w:before="120" w:line="240" w:lineRule="auto"/>
        <w:rPr>
          <w:lang w:val="en-US"/>
        </w:rPr>
      </w:pPr>
      <w:r>
        <w:rPr>
          <w:lang w:val="en-US"/>
        </w:rPr>
        <w:t xml:space="preserve">30 hours of Arabic language: </w:t>
      </w:r>
      <w:r w:rsidRPr="00331680">
        <w:rPr>
          <w:lang w:val="en-US"/>
        </w:rPr>
        <w:t>the Arabic alphabet, basic rules of reading and writing, main expressions and phrases used in daily life</w:t>
      </w:r>
      <w:r>
        <w:rPr>
          <w:lang w:val="en-US"/>
        </w:rPr>
        <w:t>.</w:t>
      </w:r>
    </w:p>
    <w:p w14:paraId="1BAE905F" w14:textId="59771A91" w:rsidR="00B4425E" w:rsidRPr="00514034" w:rsidRDefault="00B4425E" w:rsidP="00B4425E">
      <w:pPr>
        <w:spacing w:before="240" w:after="120"/>
        <w:rPr>
          <w:b/>
          <w:i/>
          <w:sz w:val="18"/>
          <w:lang w:val="en-US"/>
        </w:rPr>
      </w:pPr>
      <w:r w:rsidRPr="00514034">
        <w:rPr>
          <w:b/>
          <w:i/>
          <w:sz w:val="18"/>
          <w:lang w:val="en-US"/>
        </w:rPr>
        <w:t>READING LIST</w:t>
      </w:r>
      <w:r w:rsidR="0070363C">
        <w:rPr>
          <w:rStyle w:val="Rimandonotaapidipagina"/>
          <w:b/>
          <w:i/>
          <w:sz w:val="18"/>
          <w:lang w:val="en-US"/>
        </w:rPr>
        <w:footnoteReference w:id="1"/>
      </w:r>
    </w:p>
    <w:p w14:paraId="12E53EDE" w14:textId="77777777" w:rsidR="00B4425E" w:rsidRDefault="00B4425E" w:rsidP="00B4425E">
      <w:pPr>
        <w:pStyle w:val="Testo1"/>
        <w:rPr>
          <w:lang w:val="en-US"/>
        </w:rPr>
      </w:pPr>
      <w:r w:rsidRPr="00331680">
        <w:rPr>
          <w:lang w:val="en-US"/>
        </w:rPr>
        <w:t>Reference texts</w:t>
      </w:r>
      <w:r w:rsidRPr="00492407">
        <w:rPr>
          <w:lang w:val="en-US"/>
        </w:rPr>
        <w:t xml:space="preserve">: </w:t>
      </w:r>
    </w:p>
    <w:p w14:paraId="7FA98085" w14:textId="77777777" w:rsidR="00B4425E" w:rsidRPr="00B4425E" w:rsidRDefault="00B4425E" w:rsidP="00B4425E">
      <w:pPr>
        <w:pStyle w:val="Testo1"/>
        <w:spacing w:before="0" w:line="240" w:lineRule="atLeast"/>
        <w:rPr>
          <w:spacing w:val="-5"/>
          <w:lang w:val="en-US"/>
        </w:rPr>
      </w:pPr>
      <w:r w:rsidRPr="0035792B">
        <w:rPr>
          <w:i/>
          <w:iCs/>
          <w:spacing w:val="-5"/>
          <w:lang w:val="en-US"/>
        </w:rPr>
        <w:t>Conflicting Arab Identities. Language,</w:t>
      </w:r>
      <w:r w:rsidRPr="00B4425E">
        <w:rPr>
          <w:i/>
          <w:iCs/>
          <w:spacing w:val="-5"/>
          <w:lang w:val="en-US"/>
        </w:rPr>
        <w:t xml:space="preserve"> Tradition and Modernity</w:t>
      </w:r>
      <w:r w:rsidRPr="00B4425E">
        <w:rPr>
          <w:i/>
          <w:spacing w:val="-5"/>
          <w:lang w:val="en-US"/>
        </w:rPr>
        <w:t>,</w:t>
      </w:r>
      <w:r w:rsidRPr="00B4425E">
        <w:rPr>
          <w:spacing w:val="-5"/>
          <w:lang w:val="en-US"/>
        </w:rPr>
        <w:t xml:space="preserve"> Wael Farouq, Muta, 2018.</w:t>
      </w:r>
    </w:p>
    <w:p w14:paraId="24B45F29" w14:textId="4A4D6D68" w:rsidR="00B4425E" w:rsidRPr="0035792B" w:rsidRDefault="00B4425E" w:rsidP="0035792B">
      <w:pPr>
        <w:pStyle w:val="Testo1"/>
        <w:spacing w:before="0"/>
      </w:pPr>
      <w:r w:rsidRPr="0035792B">
        <w:rPr>
          <w:i/>
        </w:rPr>
        <w:t>Le parole in azione. Corso elementare di arabo moderno standard – Volume I,</w:t>
      </w:r>
      <w:r w:rsidRPr="0035792B">
        <w:t xml:space="preserve"> Wael Farouq, Elisa Ferrero, </w:t>
      </w:r>
      <w:r w:rsidR="000773DC">
        <w:t>Nuova edizione aggiornata</w:t>
      </w:r>
      <w:r w:rsidRPr="0035792B">
        <w:t>, Vita e Pensiero, Milano 20</w:t>
      </w:r>
      <w:r w:rsidR="000773DC">
        <w:t>20</w:t>
      </w:r>
      <w:r w:rsidRPr="0035792B">
        <w:t>.</w:t>
      </w:r>
      <w:r w:rsidR="0070363C">
        <w:t xml:space="preserve"> </w:t>
      </w:r>
      <w:hyperlink r:id="rId9" w:history="1">
        <w:r w:rsidR="0070363C" w:rsidRPr="0070363C">
          <w:rPr>
            <w:rStyle w:val="Collegamentoipertestuale"/>
            <w:rFonts w:ascii="Times New Roman" w:hAnsi="Times New Roman"/>
            <w:i/>
            <w:sz w:val="16"/>
            <w:szCs w:val="16"/>
          </w:rPr>
          <w:t>Acquista da VP</w:t>
        </w:r>
      </w:hyperlink>
      <w:bookmarkStart w:id="2" w:name="_GoBack"/>
      <w:bookmarkEnd w:id="2"/>
    </w:p>
    <w:p w14:paraId="36B370A7" w14:textId="77777777" w:rsidR="00B4425E" w:rsidRPr="00492407" w:rsidRDefault="00B4425E" w:rsidP="00B4425E">
      <w:pPr>
        <w:pStyle w:val="Testo1"/>
        <w:rPr>
          <w:lang w:val="en-US"/>
        </w:rPr>
      </w:pPr>
      <w:r w:rsidRPr="00492407">
        <w:rPr>
          <w:lang w:val="en-US"/>
        </w:rPr>
        <w:t>Suggestions for further readings:</w:t>
      </w:r>
    </w:p>
    <w:p w14:paraId="1CF57875" w14:textId="77777777" w:rsidR="00B4425E" w:rsidRPr="00492407" w:rsidRDefault="00B4425E" w:rsidP="0035792B">
      <w:pPr>
        <w:pStyle w:val="Testo1"/>
        <w:spacing w:before="0"/>
        <w:rPr>
          <w:lang w:val="en-US"/>
        </w:rPr>
      </w:pPr>
      <w:r w:rsidRPr="00492407">
        <w:rPr>
          <w:lang w:val="en-US"/>
        </w:rPr>
        <w:t>Encyclopedias and dictionaries:</w:t>
      </w:r>
    </w:p>
    <w:p w14:paraId="101AE66A" w14:textId="77777777" w:rsidR="00B4425E" w:rsidRPr="0030675F" w:rsidRDefault="00B4425E" w:rsidP="0035792B">
      <w:pPr>
        <w:pStyle w:val="Testo1"/>
        <w:spacing w:before="0"/>
        <w:rPr>
          <w:lang w:val="en-US"/>
        </w:rPr>
      </w:pPr>
      <w:r w:rsidRPr="0030675F">
        <w:rPr>
          <w:i/>
          <w:lang w:val="en-US"/>
        </w:rPr>
        <w:t>Encyclopedia of Islam</w:t>
      </w:r>
      <w:r w:rsidRPr="0030675F">
        <w:rPr>
          <w:lang w:val="en-US"/>
        </w:rPr>
        <w:t>, Leiden, E.J. Brill.</w:t>
      </w:r>
    </w:p>
    <w:p w14:paraId="7306360A" w14:textId="77777777" w:rsidR="00B4425E" w:rsidRPr="0030675F" w:rsidRDefault="00B4425E" w:rsidP="0035792B">
      <w:pPr>
        <w:pStyle w:val="Testo1"/>
        <w:spacing w:before="0"/>
        <w:rPr>
          <w:lang w:val="en-US"/>
        </w:rPr>
      </w:pPr>
      <w:r w:rsidRPr="0030675F">
        <w:rPr>
          <w:i/>
          <w:lang w:val="en-US"/>
        </w:rPr>
        <w:lastRenderedPageBreak/>
        <w:t>The Oxford Dictionary of Islam</w:t>
      </w:r>
      <w:r w:rsidRPr="0030675F">
        <w:rPr>
          <w:lang w:val="en-US"/>
        </w:rPr>
        <w:t>, John L. Esposito, Oxford University Press, 2004.</w:t>
      </w:r>
    </w:p>
    <w:p w14:paraId="50540D0D" w14:textId="77777777" w:rsidR="00B4425E" w:rsidRPr="00492407" w:rsidRDefault="00B4425E" w:rsidP="00B4425E">
      <w:pPr>
        <w:pStyle w:val="Testo1"/>
        <w:rPr>
          <w:lang w:val="en-US"/>
        </w:rPr>
      </w:pPr>
      <w:r w:rsidRPr="00492407">
        <w:rPr>
          <w:lang w:val="en-US"/>
        </w:rPr>
        <w:t>Classical sources of Arab Islamic culture:</w:t>
      </w:r>
    </w:p>
    <w:p w14:paraId="43858975" w14:textId="77777777" w:rsidR="00B4425E" w:rsidRPr="0030675F" w:rsidRDefault="00B4425E" w:rsidP="0035792B">
      <w:pPr>
        <w:pStyle w:val="Testo1"/>
        <w:spacing w:before="0"/>
        <w:rPr>
          <w:lang w:val="en-US"/>
        </w:rPr>
      </w:pPr>
      <w:r w:rsidRPr="0030675F">
        <w:rPr>
          <w:lang w:val="en-US"/>
        </w:rPr>
        <w:t>The Quran, for example:</w:t>
      </w:r>
    </w:p>
    <w:p w14:paraId="74F73042" w14:textId="77777777" w:rsidR="00B4425E" w:rsidRPr="0030675F" w:rsidRDefault="00B4425E" w:rsidP="0035792B">
      <w:pPr>
        <w:pStyle w:val="Testo1"/>
        <w:spacing w:before="0"/>
        <w:rPr>
          <w:lang w:val="en-US"/>
        </w:rPr>
      </w:pPr>
      <w:r w:rsidRPr="0030675F">
        <w:rPr>
          <w:i/>
          <w:lang w:val="en-US"/>
        </w:rPr>
        <w:t>The Holy Qur’an</w:t>
      </w:r>
      <w:r w:rsidRPr="0030675F">
        <w:rPr>
          <w:lang w:val="en-US"/>
        </w:rPr>
        <w:t xml:space="preserve">, Abdullah Yusuf ‘Ali, Kitab Bhavan, 2001. </w:t>
      </w:r>
    </w:p>
    <w:p w14:paraId="4A033D40" w14:textId="7D4FA9C4" w:rsidR="00B4425E" w:rsidRPr="0035792B" w:rsidRDefault="00B4425E" w:rsidP="0035792B">
      <w:pPr>
        <w:pStyle w:val="Testo1"/>
        <w:spacing w:before="0"/>
      </w:pPr>
      <w:r w:rsidRPr="0035792B">
        <w:rPr>
          <w:i/>
        </w:rPr>
        <w:t>Il Corano</w:t>
      </w:r>
      <w:r w:rsidRPr="0035792B">
        <w:t>, A</w:t>
      </w:r>
      <w:r w:rsidR="0035792B">
        <w:t>.</w:t>
      </w:r>
      <w:r w:rsidRPr="0035792B">
        <w:t xml:space="preserve"> Bausani, BUR, 2007. </w:t>
      </w:r>
      <w:r w:rsidR="0070363C">
        <w:t xml:space="preserve"> </w:t>
      </w:r>
      <w:hyperlink r:id="rId10" w:history="1">
        <w:r w:rsidR="0070363C" w:rsidRPr="0070363C">
          <w:rPr>
            <w:rStyle w:val="Collegamentoipertestuale"/>
            <w:rFonts w:ascii="Times New Roman" w:hAnsi="Times New Roman"/>
            <w:i/>
            <w:sz w:val="16"/>
            <w:szCs w:val="16"/>
          </w:rPr>
          <w:t>Acquista da VP</w:t>
        </w:r>
      </w:hyperlink>
    </w:p>
    <w:p w14:paraId="7951A207" w14:textId="77777777" w:rsidR="00B4425E" w:rsidRPr="00652042" w:rsidRDefault="00B4425E" w:rsidP="00B4425E">
      <w:pPr>
        <w:pStyle w:val="Testo1"/>
        <w:rPr>
          <w:lang w:val="en-US"/>
        </w:rPr>
      </w:pPr>
      <w:r w:rsidRPr="00652042">
        <w:rPr>
          <w:lang w:val="en-US"/>
        </w:rPr>
        <w:t>Hadith collections:</w:t>
      </w:r>
    </w:p>
    <w:p w14:paraId="4BC1E852" w14:textId="77777777" w:rsidR="00B4425E" w:rsidRPr="0030675F" w:rsidRDefault="00B4425E" w:rsidP="0035792B">
      <w:pPr>
        <w:pStyle w:val="Testo1"/>
        <w:spacing w:before="0"/>
        <w:rPr>
          <w:lang w:val="en-US"/>
        </w:rPr>
      </w:pPr>
      <w:r w:rsidRPr="0030675F">
        <w:rPr>
          <w:i/>
          <w:lang w:val="en-US"/>
        </w:rPr>
        <w:t>Sahih al-Bukhari, al-Bukhari’s collection of prophetic oral traditions (several translations and compendiums</w:t>
      </w:r>
      <w:r w:rsidRPr="0030675F">
        <w:rPr>
          <w:lang w:val="en-US"/>
        </w:rPr>
        <w:t xml:space="preserve"> available).</w:t>
      </w:r>
    </w:p>
    <w:p w14:paraId="68FA5C57" w14:textId="77777777" w:rsidR="00B4425E" w:rsidRPr="0035792B" w:rsidRDefault="00B4425E" w:rsidP="0035792B">
      <w:pPr>
        <w:pStyle w:val="Testo1"/>
        <w:spacing w:before="0"/>
        <w:rPr>
          <w:spacing w:val="-5"/>
          <w:lang w:val="en-US"/>
        </w:rPr>
      </w:pPr>
      <w:r w:rsidRPr="0035792B">
        <w:rPr>
          <w:spacing w:val="-5"/>
          <w:lang w:val="en-US"/>
        </w:rPr>
        <w:t>The history of al-Tabari:</w:t>
      </w:r>
    </w:p>
    <w:p w14:paraId="67B56B8A" w14:textId="77777777" w:rsidR="00B4425E" w:rsidRPr="0035792B" w:rsidRDefault="00B4425E" w:rsidP="0035792B">
      <w:pPr>
        <w:pStyle w:val="Testo1"/>
        <w:spacing w:before="0"/>
        <w:rPr>
          <w:spacing w:val="-5"/>
          <w:lang w:val="en-US"/>
        </w:rPr>
      </w:pPr>
      <w:r w:rsidRPr="0035792B">
        <w:rPr>
          <w:i/>
          <w:spacing w:val="-5"/>
          <w:lang w:val="en-US"/>
        </w:rPr>
        <w:t>The History of al-Tabari</w:t>
      </w:r>
      <w:r w:rsidRPr="0035792B">
        <w:rPr>
          <w:spacing w:val="-5"/>
          <w:lang w:val="en-US"/>
        </w:rPr>
        <w:t>, State University of New York Press (several volumes).</w:t>
      </w:r>
    </w:p>
    <w:p w14:paraId="35EB8997" w14:textId="03F8C498" w:rsidR="00B4425E" w:rsidRPr="0030675F" w:rsidRDefault="00B4425E" w:rsidP="0035792B">
      <w:pPr>
        <w:pStyle w:val="Testo1"/>
        <w:spacing w:before="0"/>
        <w:rPr>
          <w:spacing w:val="-5"/>
        </w:rPr>
      </w:pPr>
      <w:r w:rsidRPr="0030675F">
        <w:rPr>
          <w:i/>
          <w:spacing w:val="-5"/>
        </w:rPr>
        <w:t>Vita di Maometto</w:t>
      </w:r>
      <w:r w:rsidRPr="0030675F">
        <w:rPr>
          <w:spacing w:val="-5"/>
        </w:rPr>
        <w:t>, S. Noja, G. Buzzi, BUR, 2002.</w:t>
      </w:r>
      <w:r w:rsidR="0070363C">
        <w:rPr>
          <w:spacing w:val="-5"/>
        </w:rPr>
        <w:t xml:space="preserve"> </w:t>
      </w:r>
      <w:hyperlink r:id="rId11" w:history="1">
        <w:r w:rsidR="0070363C" w:rsidRPr="0070363C">
          <w:rPr>
            <w:rStyle w:val="Collegamentoipertestuale"/>
            <w:rFonts w:ascii="Times New Roman" w:hAnsi="Times New Roman"/>
            <w:i/>
            <w:sz w:val="16"/>
            <w:szCs w:val="16"/>
          </w:rPr>
          <w:t>Acquista da VP</w:t>
        </w:r>
      </w:hyperlink>
    </w:p>
    <w:p w14:paraId="280A3462" w14:textId="77777777" w:rsidR="00B4425E" w:rsidRPr="00492407" w:rsidRDefault="00B4425E" w:rsidP="0035792B">
      <w:pPr>
        <w:pStyle w:val="Testo1"/>
        <w:spacing w:before="0"/>
      </w:pPr>
      <w:r w:rsidRPr="00492407">
        <w:t>Quranic commentaries:</w:t>
      </w:r>
    </w:p>
    <w:p w14:paraId="2A8854DE" w14:textId="77777777" w:rsidR="00B4425E" w:rsidRPr="00B4425E" w:rsidRDefault="00B4425E" w:rsidP="00B4425E">
      <w:pPr>
        <w:pStyle w:val="Testo1"/>
        <w:spacing w:before="0" w:line="240" w:lineRule="atLeast"/>
        <w:rPr>
          <w:spacing w:val="-5"/>
        </w:rPr>
      </w:pPr>
      <w:r w:rsidRPr="0030675F">
        <w:rPr>
          <w:i/>
          <w:spacing w:val="-5"/>
        </w:rPr>
        <w:t>Tafsir al-Jalalayn,</w:t>
      </w:r>
      <w:r w:rsidRPr="00B4425E">
        <w:rPr>
          <w:i/>
          <w:spacing w:val="-5"/>
        </w:rPr>
        <w:t xml:space="preserve"> </w:t>
      </w:r>
      <w:r w:rsidRPr="0035792B">
        <w:rPr>
          <w:spacing w:val="-5"/>
        </w:rPr>
        <w:t>Feras Hamza, Fons</w:t>
      </w:r>
      <w:r w:rsidRPr="00B4425E">
        <w:rPr>
          <w:spacing w:val="-5"/>
        </w:rPr>
        <w:t xml:space="preserve"> Vitae, 2008. </w:t>
      </w:r>
    </w:p>
    <w:p w14:paraId="4B2C8424" w14:textId="77777777" w:rsidR="00B4425E" w:rsidRPr="00B4425E" w:rsidRDefault="00B4425E" w:rsidP="00B4425E">
      <w:pPr>
        <w:pStyle w:val="Testo1"/>
        <w:spacing w:before="0" w:line="240" w:lineRule="atLeast"/>
        <w:rPr>
          <w:spacing w:val="-5"/>
        </w:rPr>
      </w:pPr>
      <w:r w:rsidRPr="0030675F">
        <w:rPr>
          <w:i/>
          <w:spacing w:val="-5"/>
        </w:rPr>
        <w:t>Esegesi del Corano</w:t>
      </w:r>
      <w:r w:rsidRPr="00B4425E">
        <w:rPr>
          <w:smallCaps/>
          <w:spacing w:val="-5"/>
          <w:sz w:val="16"/>
        </w:rPr>
        <w:t>,</w:t>
      </w:r>
      <w:r w:rsidRPr="00B4425E">
        <w:rPr>
          <w:i/>
          <w:spacing w:val="-5"/>
        </w:rPr>
        <w:t xml:space="preserve"> </w:t>
      </w:r>
      <w:r w:rsidRPr="00B4425E">
        <w:rPr>
          <w:i/>
          <w:iCs/>
          <w:spacing w:val="-5"/>
        </w:rPr>
        <w:t>Tafsir al-Jalalayn</w:t>
      </w:r>
      <w:r w:rsidRPr="00B4425E">
        <w:rPr>
          <w:i/>
          <w:spacing w:val="-5"/>
        </w:rPr>
        <w:t>,</w:t>
      </w:r>
      <w:r w:rsidRPr="00B4425E">
        <w:rPr>
          <w:spacing w:val="-5"/>
        </w:rPr>
        <w:t xml:space="preserve"> Istituto Italiano di Studi Islamici.</w:t>
      </w:r>
    </w:p>
    <w:p w14:paraId="05D63B76" w14:textId="77777777" w:rsidR="00B4425E" w:rsidRPr="00492407" w:rsidRDefault="00B4425E" w:rsidP="0035792B">
      <w:pPr>
        <w:pStyle w:val="Testo1"/>
        <w:rPr>
          <w:lang w:val="en-US"/>
        </w:rPr>
      </w:pPr>
      <w:r w:rsidRPr="00492407">
        <w:rPr>
          <w:lang w:val="en-US"/>
        </w:rPr>
        <w:t>Modern sources of Arab Islamic culture:</w:t>
      </w:r>
    </w:p>
    <w:p w14:paraId="06B3E44E" w14:textId="77777777" w:rsidR="00B4425E" w:rsidRPr="0030675F" w:rsidRDefault="00B4425E" w:rsidP="0035792B">
      <w:pPr>
        <w:pStyle w:val="Testo1"/>
        <w:spacing w:before="0"/>
        <w:rPr>
          <w:lang w:val="en-US"/>
        </w:rPr>
      </w:pPr>
      <w:r w:rsidRPr="0030675F">
        <w:rPr>
          <w:i/>
          <w:lang w:val="en-US"/>
        </w:rPr>
        <w:t>Islam and modernity</w:t>
      </w:r>
      <w:r w:rsidRPr="0030675F">
        <w:rPr>
          <w:lang w:val="en-US"/>
        </w:rPr>
        <w:t>, Fazlur Rahman, University of Chicago Press, 1984.</w:t>
      </w:r>
    </w:p>
    <w:p w14:paraId="3E4A2DEC" w14:textId="77777777" w:rsidR="00B4425E" w:rsidRPr="0035792B" w:rsidRDefault="00B4425E" w:rsidP="0035792B">
      <w:pPr>
        <w:pStyle w:val="Testo1"/>
        <w:spacing w:before="0"/>
      </w:pPr>
      <w:r w:rsidRPr="0035792B">
        <w:rPr>
          <w:i/>
        </w:rPr>
        <w:t>La religione del Corano</w:t>
      </w:r>
      <w:r w:rsidRPr="0035792B">
        <w:t>, Fazlur Rahman, Net, 2003.</w:t>
      </w:r>
    </w:p>
    <w:p w14:paraId="3ED0894E" w14:textId="77777777" w:rsidR="00B4425E" w:rsidRPr="0030675F" w:rsidRDefault="00B4425E" w:rsidP="0035792B">
      <w:pPr>
        <w:pStyle w:val="Testo1"/>
        <w:spacing w:before="0"/>
        <w:rPr>
          <w:lang w:val="en-US"/>
        </w:rPr>
      </w:pPr>
      <w:r w:rsidRPr="0030675F">
        <w:rPr>
          <w:i/>
          <w:lang w:val="en-US"/>
        </w:rPr>
        <w:t>Critique of religious discourse</w:t>
      </w:r>
      <w:r w:rsidRPr="0030675F">
        <w:rPr>
          <w:lang w:val="en-US"/>
        </w:rPr>
        <w:t>, Nasr Hamid Abu Zayd, Yale University, to be published 2018.</w:t>
      </w:r>
    </w:p>
    <w:p w14:paraId="6130559E" w14:textId="1F2FAA78" w:rsidR="00B4425E" w:rsidRPr="0035792B" w:rsidRDefault="00B4425E" w:rsidP="0035792B">
      <w:pPr>
        <w:pStyle w:val="Testo1"/>
        <w:spacing w:before="0"/>
      </w:pPr>
      <w:r w:rsidRPr="0035792B">
        <w:rPr>
          <w:i/>
        </w:rPr>
        <w:t xml:space="preserve">Islam e storia. Critica del discorso religioso, </w:t>
      </w:r>
      <w:r w:rsidRPr="0035792B">
        <w:t>Nasr Hamid Abu Zayd, Bollati Boringhieri, 2016.</w:t>
      </w:r>
      <w:r w:rsidR="0070363C">
        <w:t xml:space="preserve"> </w:t>
      </w:r>
      <w:hyperlink r:id="rId12" w:history="1">
        <w:r w:rsidR="0070363C" w:rsidRPr="0070363C">
          <w:rPr>
            <w:rStyle w:val="Collegamentoipertestuale"/>
            <w:rFonts w:ascii="Times New Roman" w:hAnsi="Times New Roman"/>
            <w:i/>
            <w:sz w:val="16"/>
            <w:szCs w:val="16"/>
          </w:rPr>
          <w:t>Acquista da VP</w:t>
        </w:r>
      </w:hyperlink>
    </w:p>
    <w:p w14:paraId="165177E6" w14:textId="77777777" w:rsidR="00B4425E" w:rsidRPr="0030675F" w:rsidRDefault="00B4425E" w:rsidP="0035792B">
      <w:pPr>
        <w:pStyle w:val="Testo1"/>
        <w:spacing w:before="0"/>
        <w:rPr>
          <w:lang w:val="en-US"/>
        </w:rPr>
      </w:pPr>
      <w:r w:rsidRPr="0030675F">
        <w:rPr>
          <w:i/>
          <w:lang w:val="en-US"/>
        </w:rPr>
        <w:t>Arab-Islamic philosophy: A Contemporary Critique</w:t>
      </w:r>
      <w:r w:rsidRPr="0030675F">
        <w:rPr>
          <w:lang w:val="en-US"/>
        </w:rPr>
        <w:t>, Muhammad Abid Jabiri, Middle East Monograph Series, 1999.</w:t>
      </w:r>
    </w:p>
    <w:p w14:paraId="4E7182CD" w14:textId="77777777" w:rsidR="00B4425E" w:rsidRPr="00492407" w:rsidRDefault="00B4425E" w:rsidP="00B4425E">
      <w:pPr>
        <w:pStyle w:val="Testo1"/>
      </w:pPr>
      <w:r w:rsidRPr="00492407">
        <w:t>Articles and essays:</w:t>
      </w:r>
    </w:p>
    <w:p w14:paraId="73B3E0EA" w14:textId="77777777" w:rsidR="00B4425E" w:rsidRPr="0035792B" w:rsidRDefault="00B4425E" w:rsidP="0035792B">
      <w:pPr>
        <w:pStyle w:val="Testo1"/>
        <w:spacing w:before="0"/>
      </w:pPr>
      <w:r w:rsidRPr="0035792B">
        <w:rPr>
          <w:i/>
        </w:rPr>
        <w:t>L’Arabia preislamica e il vero senso della Shari‘a</w:t>
      </w:r>
      <w:r w:rsidRPr="0035792B">
        <w:t>, Wael Farouq, rivista Vita e Pensiero, n.1, 2018.</w:t>
      </w:r>
    </w:p>
    <w:p w14:paraId="56C8672B" w14:textId="77777777" w:rsidR="00B4425E" w:rsidRPr="0035792B" w:rsidRDefault="00B4425E" w:rsidP="0035792B">
      <w:pPr>
        <w:pStyle w:val="Testo1"/>
        <w:spacing w:before="0"/>
      </w:pPr>
      <w:r w:rsidRPr="0035792B">
        <w:rPr>
          <w:i/>
        </w:rPr>
        <w:t>Averroè fra fiqh e filosofia. La ragione araba nel limbo</w:t>
      </w:r>
      <w:r w:rsidRPr="0035792B">
        <w:t>, Wael Farouq, InCircolo, n.2, Dec 2016.</w:t>
      </w:r>
    </w:p>
    <w:p w14:paraId="612AC7B1" w14:textId="77777777" w:rsidR="00B4425E" w:rsidRPr="0030675F" w:rsidRDefault="00B4425E" w:rsidP="0035792B">
      <w:pPr>
        <w:pStyle w:val="Testo1"/>
        <w:spacing w:before="0"/>
        <w:rPr>
          <w:lang w:val="en-US"/>
        </w:rPr>
      </w:pPr>
      <w:r w:rsidRPr="0030675F">
        <w:rPr>
          <w:i/>
          <w:lang w:val="en-US"/>
        </w:rPr>
        <w:t>Reason between breastfeeding and weaning</w:t>
      </w:r>
      <w:r w:rsidRPr="0030675F">
        <w:rPr>
          <w:lang w:val="en-US"/>
        </w:rPr>
        <w:t>, Wael Farouq, Oasis, Jun 2015 (English and Italian).</w:t>
      </w:r>
    </w:p>
    <w:p w14:paraId="413BC0CB" w14:textId="77777777" w:rsidR="00B4425E" w:rsidRPr="0035792B" w:rsidRDefault="00B4425E" w:rsidP="0035792B">
      <w:pPr>
        <w:pStyle w:val="Testo1"/>
        <w:spacing w:before="0"/>
      </w:pPr>
      <w:r w:rsidRPr="0035792B">
        <w:rPr>
          <w:i/>
        </w:rPr>
        <w:t>Alle radici della ragione araba</w:t>
      </w:r>
      <w:r w:rsidRPr="0035792B">
        <w:t>, Wael Farouq, in Dio salvi la ragione, Cantagalli, 2007.</w:t>
      </w:r>
    </w:p>
    <w:p w14:paraId="2C601060" w14:textId="77777777" w:rsidR="00B4425E" w:rsidRPr="0030675F" w:rsidRDefault="00B4425E" w:rsidP="0035792B">
      <w:pPr>
        <w:pStyle w:val="Testo1"/>
        <w:spacing w:before="0"/>
        <w:rPr>
          <w:lang w:val="en-US"/>
        </w:rPr>
      </w:pPr>
      <w:r w:rsidRPr="0030675F">
        <w:rPr>
          <w:i/>
          <w:lang w:val="en-US"/>
        </w:rPr>
        <w:t>Modernity, between exclusion and identification</w:t>
      </w:r>
      <w:r w:rsidRPr="0030675F">
        <w:rPr>
          <w:lang w:val="en-US"/>
        </w:rPr>
        <w:t>, Wael Farouq, Almuslih, August 2014.</w:t>
      </w:r>
    </w:p>
    <w:p w14:paraId="7C610A8A" w14:textId="77777777" w:rsidR="00B4425E" w:rsidRPr="00514034" w:rsidRDefault="00B4425E" w:rsidP="00B4425E">
      <w:pPr>
        <w:spacing w:before="240" w:after="120" w:line="220" w:lineRule="exact"/>
        <w:rPr>
          <w:b/>
          <w:i/>
          <w:sz w:val="18"/>
          <w:lang w:val="en-US"/>
        </w:rPr>
      </w:pPr>
      <w:r w:rsidRPr="00514034">
        <w:rPr>
          <w:b/>
          <w:i/>
          <w:sz w:val="18"/>
          <w:lang w:val="en-US"/>
        </w:rPr>
        <w:t>TEACHING METHOD</w:t>
      </w:r>
    </w:p>
    <w:p w14:paraId="31DE3DE7" w14:textId="77777777" w:rsidR="00B4425E" w:rsidRPr="0035792B" w:rsidRDefault="00B4425E" w:rsidP="00B4425E">
      <w:pPr>
        <w:pStyle w:val="Testo2"/>
        <w:rPr>
          <w:lang w:val="en-US"/>
        </w:rPr>
      </w:pPr>
      <w:r w:rsidRPr="0035792B">
        <w:rPr>
          <w:lang w:val="en-US"/>
        </w:rPr>
        <w:t>Lectures in class.</w:t>
      </w:r>
    </w:p>
    <w:p w14:paraId="35F9A4CE" w14:textId="77777777" w:rsidR="00B4425E" w:rsidRPr="0035792B" w:rsidRDefault="00B4425E" w:rsidP="00B4425E">
      <w:pPr>
        <w:pStyle w:val="Testo2"/>
        <w:rPr>
          <w:lang w:val="en-US"/>
        </w:rPr>
      </w:pPr>
      <w:r w:rsidRPr="0035792B">
        <w:rPr>
          <w:lang w:val="en-US"/>
        </w:rPr>
        <w:t>Language of the course: English/Arabic</w:t>
      </w:r>
    </w:p>
    <w:p w14:paraId="45343D2A" w14:textId="77777777" w:rsidR="00B4425E" w:rsidRPr="00906645" w:rsidRDefault="00B4425E" w:rsidP="00B4425E">
      <w:pPr>
        <w:spacing w:before="240" w:after="120" w:line="220" w:lineRule="exact"/>
        <w:rPr>
          <w:b/>
          <w:i/>
          <w:sz w:val="18"/>
          <w:lang w:val="en-US"/>
        </w:rPr>
      </w:pPr>
      <w:r w:rsidRPr="00906645">
        <w:rPr>
          <w:b/>
          <w:i/>
          <w:sz w:val="18"/>
          <w:lang w:val="en-US"/>
        </w:rPr>
        <w:t>ASSESSMENT METHOD AND CRITERIA</w:t>
      </w:r>
    </w:p>
    <w:p w14:paraId="001B554B" w14:textId="77777777" w:rsidR="00B4425E" w:rsidRDefault="00B4425E" w:rsidP="00B4425E">
      <w:pPr>
        <w:pStyle w:val="Testo2"/>
        <w:rPr>
          <w:lang w:val="en-US"/>
        </w:rPr>
      </w:pPr>
      <w:r w:rsidRPr="00AE128F">
        <w:rPr>
          <w:lang w:val="en-US"/>
        </w:rPr>
        <w:t xml:space="preserve">Oral exam at the end of the course with minimum grade 18/30 and maximum grade 30/30 </w:t>
      </w:r>
      <w:r w:rsidRPr="00AE128F">
        <w:rPr>
          <w:i/>
          <w:iCs/>
          <w:lang w:val="en-US"/>
        </w:rPr>
        <w:t>cum laude</w:t>
      </w:r>
      <w:r w:rsidRPr="00AE128F">
        <w:rPr>
          <w:lang w:val="en-US"/>
        </w:rPr>
        <w:t>.</w:t>
      </w:r>
      <w:r>
        <w:rPr>
          <w:lang w:val="en-US"/>
        </w:rPr>
        <w:t xml:space="preserve"> The oral exam will consist of:</w:t>
      </w:r>
    </w:p>
    <w:p w14:paraId="33A3DA57" w14:textId="77777777" w:rsidR="00B4425E" w:rsidRDefault="00B4425E" w:rsidP="0035792B">
      <w:pPr>
        <w:pStyle w:val="Testo2"/>
        <w:numPr>
          <w:ilvl w:val="0"/>
          <w:numId w:val="3"/>
        </w:numPr>
        <w:ind w:left="567" w:hanging="283"/>
        <w:rPr>
          <w:lang w:val="en-US"/>
        </w:rPr>
      </w:pPr>
      <w:r>
        <w:rPr>
          <w:lang w:val="en-US"/>
        </w:rPr>
        <w:lastRenderedPageBreak/>
        <w:t>A test of the students’ simple reading and conversation skills.</w:t>
      </w:r>
    </w:p>
    <w:p w14:paraId="2FFC0902" w14:textId="77777777" w:rsidR="002D5E17" w:rsidRDefault="00B4425E" w:rsidP="0035792B">
      <w:pPr>
        <w:pStyle w:val="Testo2"/>
        <w:numPr>
          <w:ilvl w:val="0"/>
          <w:numId w:val="3"/>
        </w:numPr>
        <w:ind w:left="567" w:hanging="283"/>
        <w:rPr>
          <w:lang w:val="en-US"/>
        </w:rPr>
      </w:pPr>
      <w:r>
        <w:rPr>
          <w:lang w:val="en-US"/>
        </w:rPr>
        <w:t xml:space="preserve">The </w:t>
      </w:r>
      <w:r w:rsidRPr="004210A5">
        <w:rPr>
          <w:lang w:val="en-US"/>
        </w:rPr>
        <w:t>choice of three</w:t>
      </w:r>
      <w:r>
        <w:rPr>
          <w:lang w:val="en-US"/>
        </w:rPr>
        <w:t xml:space="preserve"> terms among a list of five of which the students must exhaustively explain: (1) the linguistic meaning, (2) the technical meaning, (3) the historical context in which it was born.</w:t>
      </w:r>
    </w:p>
    <w:p w14:paraId="72F26BF0" w14:textId="77777777" w:rsidR="00B4425E" w:rsidRPr="00B4425E" w:rsidRDefault="00B4425E" w:rsidP="00B4425E">
      <w:pPr>
        <w:spacing w:before="240" w:after="120"/>
        <w:ind w:left="360"/>
        <w:rPr>
          <w:b/>
          <w:i/>
          <w:sz w:val="18"/>
          <w:lang w:val="en-US"/>
        </w:rPr>
      </w:pPr>
      <w:r w:rsidRPr="00B4425E">
        <w:rPr>
          <w:b/>
          <w:i/>
          <w:sz w:val="18"/>
          <w:lang w:val="en-US"/>
        </w:rPr>
        <w:t>NOTES AND PREREQUISITES</w:t>
      </w:r>
    </w:p>
    <w:p w14:paraId="5923CAB3" w14:textId="77777777" w:rsidR="00B4425E" w:rsidRPr="0035792B" w:rsidRDefault="00B4425E" w:rsidP="00B4425E">
      <w:pPr>
        <w:pStyle w:val="Testo2"/>
        <w:rPr>
          <w:lang w:val="en-US"/>
        </w:rPr>
      </w:pPr>
      <w:r w:rsidRPr="0035792B">
        <w:rPr>
          <w:lang w:val="en-US"/>
        </w:rPr>
        <w:t>The first 20 hours of the course will be held in the first semester, the remaining 40 hours will be held in the second semester.</w:t>
      </w:r>
    </w:p>
    <w:p w14:paraId="4D242040" w14:textId="16B249BC" w:rsidR="0030675F" w:rsidRDefault="00B4425E" w:rsidP="0030675F">
      <w:pPr>
        <w:pStyle w:val="Testo2"/>
        <w:rPr>
          <w:lang w:val="en-US"/>
        </w:rPr>
      </w:pPr>
      <w:r w:rsidRPr="0035792B">
        <w:rPr>
          <w:lang w:val="en-US"/>
        </w:rPr>
        <w:t>Office hours will be communicated in class</w:t>
      </w:r>
      <w:r w:rsidR="000773DC">
        <w:rPr>
          <w:lang w:val="en-US"/>
        </w:rPr>
        <w:t>.</w:t>
      </w:r>
    </w:p>
    <w:sectPr w:rsidR="0030675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51F76" w14:textId="77777777" w:rsidR="0070363C" w:rsidRDefault="0070363C" w:rsidP="0070363C">
      <w:pPr>
        <w:spacing w:line="240" w:lineRule="auto"/>
      </w:pPr>
      <w:r>
        <w:separator/>
      </w:r>
    </w:p>
  </w:endnote>
  <w:endnote w:type="continuationSeparator" w:id="0">
    <w:p w14:paraId="3BD9ACC6" w14:textId="77777777" w:rsidR="0070363C" w:rsidRDefault="0070363C" w:rsidP="00703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6BBE7" w14:textId="77777777" w:rsidR="0070363C" w:rsidRDefault="0070363C" w:rsidP="0070363C">
      <w:pPr>
        <w:spacing w:line="240" w:lineRule="auto"/>
      </w:pPr>
      <w:r>
        <w:separator/>
      </w:r>
    </w:p>
  </w:footnote>
  <w:footnote w:type="continuationSeparator" w:id="0">
    <w:p w14:paraId="6060D8A2" w14:textId="77777777" w:rsidR="0070363C" w:rsidRDefault="0070363C" w:rsidP="0070363C">
      <w:pPr>
        <w:spacing w:line="240" w:lineRule="auto"/>
      </w:pPr>
      <w:r>
        <w:continuationSeparator/>
      </w:r>
    </w:p>
  </w:footnote>
  <w:footnote w:id="1">
    <w:p w14:paraId="49430EC2" w14:textId="3348470E" w:rsidR="0070363C" w:rsidRDefault="0070363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95D52"/>
    <w:multiLevelType w:val="multilevel"/>
    <w:tmpl w:val="DF08C6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B790EC4"/>
    <w:multiLevelType w:val="hybridMultilevel"/>
    <w:tmpl w:val="A3DA8C32"/>
    <w:lvl w:ilvl="0" w:tplc="A56CAE3C">
      <w:start w:val="3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236E6B"/>
    <w:multiLevelType w:val="hybridMultilevel"/>
    <w:tmpl w:val="1BA03DBA"/>
    <w:lvl w:ilvl="0" w:tplc="F2E60F80">
      <w:start w:val="23"/>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6E787D"/>
    <w:multiLevelType w:val="hybridMultilevel"/>
    <w:tmpl w:val="BB5E7814"/>
    <w:lvl w:ilvl="0" w:tplc="D94E3D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5E"/>
    <w:rsid w:val="000773DC"/>
    <w:rsid w:val="00187B99"/>
    <w:rsid w:val="002014DD"/>
    <w:rsid w:val="00270BCC"/>
    <w:rsid w:val="002D5E17"/>
    <w:rsid w:val="002F64E7"/>
    <w:rsid w:val="0030675F"/>
    <w:rsid w:val="0035792B"/>
    <w:rsid w:val="004D1217"/>
    <w:rsid w:val="004D6008"/>
    <w:rsid w:val="00565DA3"/>
    <w:rsid w:val="005C7F2A"/>
    <w:rsid w:val="00640794"/>
    <w:rsid w:val="006F1772"/>
    <w:rsid w:val="0070363C"/>
    <w:rsid w:val="00787F7F"/>
    <w:rsid w:val="00860EDA"/>
    <w:rsid w:val="008942E7"/>
    <w:rsid w:val="008A1204"/>
    <w:rsid w:val="008A2281"/>
    <w:rsid w:val="00900CCA"/>
    <w:rsid w:val="00924B77"/>
    <w:rsid w:val="00940DA2"/>
    <w:rsid w:val="00977F7B"/>
    <w:rsid w:val="009E055C"/>
    <w:rsid w:val="00A74F6F"/>
    <w:rsid w:val="00AD7557"/>
    <w:rsid w:val="00B4425E"/>
    <w:rsid w:val="00B50C5D"/>
    <w:rsid w:val="00B51253"/>
    <w:rsid w:val="00B525CC"/>
    <w:rsid w:val="00D404F2"/>
    <w:rsid w:val="00E57A10"/>
    <w:rsid w:val="00E607E6"/>
    <w:rsid w:val="00EB250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F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 w:type="paragraph" w:styleId="Testonotaapidipagina">
    <w:name w:val="footnote text"/>
    <w:basedOn w:val="Normale"/>
    <w:link w:val="TestonotaapidipaginaCarattere"/>
    <w:rsid w:val="0070363C"/>
    <w:pPr>
      <w:spacing w:line="240" w:lineRule="auto"/>
    </w:pPr>
    <w:rPr>
      <w:szCs w:val="20"/>
    </w:rPr>
  </w:style>
  <w:style w:type="character" w:customStyle="1" w:styleId="TestonotaapidipaginaCarattere">
    <w:name w:val="Testo nota a piè di pagina Carattere"/>
    <w:basedOn w:val="Carpredefinitoparagrafo"/>
    <w:link w:val="Testonotaapidipagina"/>
    <w:rsid w:val="0070363C"/>
  </w:style>
  <w:style w:type="character" w:styleId="Rimandonotaapidipagina">
    <w:name w:val="footnote reference"/>
    <w:basedOn w:val="Carpredefinitoparagrafo"/>
    <w:rsid w:val="0070363C"/>
    <w:rPr>
      <w:vertAlign w:val="superscript"/>
    </w:rPr>
  </w:style>
  <w:style w:type="character" w:styleId="Collegamentoipertestuale">
    <w:name w:val="Hyperlink"/>
    <w:basedOn w:val="Carpredefinitoparagrafo"/>
    <w:rsid w:val="007036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4425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4425E"/>
    <w:pPr>
      <w:ind w:left="720"/>
      <w:contextualSpacing/>
    </w:pPr>
  </w:style>
  <w:style w:type="character" w:customStyle="1" w:styleId="xxspelle">
    <w:name w:val="x_xspelle"/>
    <w:basedOn w:val="Carpredefinitoparagrafo"/>
    <w:rsid w:val="0030675F"/>
  </w:style>
  <w:style w:type="paragraph" w:styleId="Testonotaapidipagina">
    <w:name w:val="footnote text"/>
    <w:basedOn w:val="Normale"/>
    <w:link w:val="TestonotaapidipaginaCarattere"/>
    <w:rsid w:val="0070363C"/>
    <w:pPr>
      <w:spacing w:line="240" w:lineRule="auto"/>
    </w:pPr>
    <w:rPr>
      <w:szCs w:val="20"/>
    </w:rPr>
  </w:style>
  <w:style w:type="character" w:customStyle="1" w:styleId="TestonotaapidipaginaCarattere">
    <w:name w:val="Testo nota a piè di pagina Carattere"/>
    <w:basedOn w:val="Carpredefinitoparagrafo"/>
    <w:link w:val="Testonotaapidipagina"/>
    <w:rsid w:val="0070363C"/>
  </w:style>
  <w:style w:type="character" w:styleId="Rimandonotaapidipagina">
    <w:name w:val="footnote reference"/>
    <w:basedOn w:val="Carpredefinitoparagrafo"/>
    <w:rsid w:val="0070363C"/>
    <w:rPr>
      <w:vertAlign w:val="superscript"/>
    </w:rPr>
  </w:style>
  <w:style w:type="character" w:styleId="Collegamentoipertestuale">
    <w:name w:val="Hyperlink"/>
    <w:basedOn w:val="Carpredefinitoparagrafo"/>
    <w:rsid w:val="00703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nasr-hamid-abu-zayd/islam-e-storia-critica-del-discorso-religioso-9788833928111-24288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uhammad-ibn-garir-al-tabari/vita-di-maometto-9788817128445-252762.html" TargetMode="External"/><Relationship Id="rId5" Type="http://schemas.openxmlformats.org/officeDocument/2006/relationships/settings" Target="settings.xml"/><Relationship Id="rId10" Type="http://schemas.openxmlformats.org/officeDocument/2006/relationships/hyperlink" Target="https://librerie.unicatt.it/scheda-libro/autori-vari/il-corano-9788817013369-208842.html" TargetMode="External"/><Relationship Id="rId4" Type="http://schemas.microsoft.com/office/2007/relationships/stylesWithEffects" Target="stylesWithEffects.xml"/><Relationship Id="rId9" Type="http://schemas.openxmlformats.org/officeDocument/2006/relationships/hyperlink" Target="https://librerie.unicatt.it/scheda-libro/wael-farouq-elisa-ferrero/le-parole-in-azione-9788834342367-688650.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A7D0B-2183-4C33-AE66-F32F09BC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596</Words>
  <Characters>3899</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2022-05-14T08:37:00Z</dcterms:created>
  <dcterms:modified xsi:type="dcterms:W3CDTF">2022-07-20T09:37:00Z</dcterms:modified>
</cp:coreProperties>
</file>