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B9B7" w14:textId="77777777" w:rsidR="00041863" w:rsidRPr="00B31356" w:rsidRDefault="00041863" w:rsidP="00041863">
      <w:pPr>
        <w:pStyle w:val="Titolo1"/>
      </w:pPr>
      <w:r w:rsidRPr="00B31356">
        <w:t>Diritto della comunicazione e concorrenza</w:t>
      </w:r>
    </w:p>
    <w:p w14:paraId="7FA056FA" w14:textId="77777777" w:rsidR="00041863" w:rsidRPr="00B31356" w:rsidRDefault="00041863" w:rsidP="00041863">
      <w:pPr>
        <w:pStyle w:val="Titolo2"/>
      </w:pPr>
      <w:r w:rsidRPr="00B31356">
        <w:t>Prof. Debora Caldirola</w:t>
      </w:r>
    </w:p>
    <w:p w14:paraId="4535A930" w14:textId="77777777" w:rsidR="00FC4F7D" w:rsidRDefault="00041863" w:rsidP="00FC4F7D">
      <w:pPr>
        <w:tabs>
          <w:tab w:val="clear" w:pos="284"/>
        </w:tabs>
        <w:spacing w:before="240" w:after="120"/>
      </w:pPr>
      <w:r w:rsidRPr="00B31356">
        <w:rPr>
          <w:rFonts w:eastAsia="MS Mincho"/>
          <w:b/>
          <w:i/>
          <w:sz w:val="18"/>
        </w:rPr>
        <w:t>OBIETTIVO DEL CORSO</w:t>
      </w:r>
      <w:r w:rsidRPr="00671946">
        <w:rPr>
          <w:rFonts w:eastAsia="MS Mincho"/>
          <w:b/>
          <w:i/>
          <w:sz w:val="18"/>
        </w:rPr>
        <w:t xml:space="preserve"> </w:t>
      </w:r>
      <w:r w:rsidR="00FC4F7D">
        <w:rPr>
          <w:rFonts w:eastAsia="MS Mincho"/>
          <w:b/>
          <w:i/>
          <w:sz w:val="18"/>
        </w:rPr>
        <w:t>E RISULTATI DI APPRENDIMENTO ATTESI</w:t>
      </w:r>
    </w:p>
    <w:p w14:paraId="36A8644A" w14:textId="56C9053C" w:rsidR="00041863" w:rsidRPr="005E36CC" w:rsidRDefault="00041863" w:rsidP="00041863">
      <w:pPr>
        <w:tabs>
          <w:tab w:val="clear" w:pos="284"/>
        </w:tabs>
        <w:rPr>
          <w:sz w:val="18"/>
          <w:szCs w:val="18"/>
        </w:rPr>
      </w:pPr>
      <w:r w:rsidRPr="005E36CC">
        <w:rPr>
          <w:rFonts w:eastAsia="MS Mincho"/>
          <w:sz w:val="18"/>
          <w:szCs w:val="18"/>
        </w:rPr>
        <w:t>Il corso si propone di offrire una visione sistematica della disciplina afferente il diritto della comunicazione, con particolare attenzione alle nuove tecnologie</w:t>
      </w:r>
      <w:r w:rsidR="00EC4567" w:rsidRPr="005E36CC">
        <w:rPr>
          <w:rFonts w:eastAsia="MS Mincho"/>
          <w:sz w:val="18"/>
          <w:szCs w:val="18"/>
        </w:rPr>
        <w:t xml:space="preserve"> e al mondo del web, </w:t>
      </w:r>
      <w:r w:rsidRPr="005E36CC">
        <w:rPr>
          <w:rFonts w:eastAsia="MS Mincho"/>
          <w:sz w:val="18"/>
          <w:szCs w:val="18"/>
        </w:rPr>
        <w:t>facendo emergere la dimensione concorrenziale in cui si trovano ad operare i diversi attori e le regole che governano tale dimensione.</w:t>
      </w:r>
      <w:r w:rsidR="009F0199">
        <w:rPr>
          <w:sz w:val="18"/>
          <w:szCs w:val="18"/>
        </w:rPr>
        <w:t xml:space="preserve"> La rappresentazione delle regole sottese ai diversi fenomeni comunicativi e alla competizione tra operatori economici verrà accompagnata dall’esame del contesto fattuale ed applicativo della disciplina attraverso l’orientamento giurisprudenziale ed interpretativo delle Autorità amministrative indipendenti.</w:t>
      </w:r>
    </w:p>
    <w:p w14:paraId="751C3A27" w14:textId="77777777" w:rsidR="00FC4F7D" w:rsidRPr="00FC4F7D" w:rsidRDefault="00FC4F7D" w:rsidP="00FC4F7D">
      <w:pPr>
        <w:tabs>
          <w:tab w:val="clear" w:pos="284"/>
        </w:tabs>
        <w:spacing w:before="120"/>
        <w:rPr>
          <w:rFonts w:eastAsia="MS Mincho"/>
          <w:i/>
          <w:sz w:val="18"/>
        </w:rPr>
      </w:pPr>
      <w:r w:rsidRPr="00FC4F7D">
        <w:rPr>
          <w:rFonts w:eastAsia="MS Mincho"/>
          <w:i/>
          <w:sz w:val="18"/>
        </w:rPr>
        <w:t>Risultati di apprendimento attesi</w:t>
      </w:r>
    </w:p>
    <w:p w14:paraId="56EFF11D" w14:textId="77777777" w:rsidR="00041863" w:rsidRPr="005E36CC" w:rsidRDefault="00041863" w:rsidP="00FC4F7D">
      <w:pPr>
        <w:tabs>
          <w:tab w:val="clear" w:pos="284"/>
        </w:tabs>
        <w:rPr>
          <w:rFonts w:eastAsia="MS Mincho"/>
          <w:sz w:val="18"/>
          <w:szCs w:val="18"/>
        </w:rPr>
      </w:pPr>
      <w:r w:rsidRPr="005E36CC">
        <w:rPr>
          <w:sz w:val="18"/>
          <w:szCs w:val="18"/>
        </w:rPr>
        <w:t>Al termine dell’insegnamento lo studente sarà in grado di distinguere i diversi fenomeni comunicativi sotto il profilo giuridico, individuando le garanzie e i limit</w:t>
      </w:r>
      <w:r w:rsidR="0016429E" w:rsidRPr="005E36CC">
        <w:rPr>
          <w:sz w:val="18"/>
          <w:szCs w:val="18"/>
        </w:rPr>
        <w:t>i</w:t>
      </w:r>
      <w:r w:rsidR="0068547F" w:rsidRPr="005E36CC">
        <w:rPr>
          <w:sz w:val="18"/>
          <w:szCs w:val="18"/>
        </w:rPr>
        <w:t xml:space="preserve"> e</w:t>
      </w:r>
      <w:r w:rsidR="0016429E" w:rsidRPr="005E36CC">
        <w:rPr>
          <w:sz w:val="18"/>
          <w:szCs w:val="18"/>
        </w:rPr>
        <w:t xml:space="preserve"> di comprendere l’evoluzione degli assetti di regolazione nel corso del tempo</w:t>
      </w:r>
      <w:r w:rsidR="0068547F" w:rsidRPr="005E36CC">
        <w:rPr>
          <w:sz w:val="18"/>
          <w:szCs w:val="18"/>
        </w:rPr>
        <w:t>.</w:t>
      </w:r>
      <w:r w:rsidR="00A1110F" w:rsidRPr="005E36CC">
        <w:rPr>
          <w:sz w:val="18"/>
          <w:szCs w:val="18"/>
        </w:rPr>
        <w:t xml:space="preserve"> Lo studente sarà inoltre capace </w:t>
      </w:r>
      <w:r w:rsidR="00363DB3">
        <w:rPr>
          <w:sz w:val="18"/>
          <w:szCs w:val="18"/>
        </w:rPr>
        <w:t xml:space="preserve">di </w:t>
      </w:r>
      <w:r w:rsidR="00A1110F" w:rsidRPr="005E36CC">
        <w:rPr>
          <w:sz w:val="18"/>
          <w:szCs w:val="18"/>
        </w:rPr>
        <w:t xml:space="preserve">comprendere </w:t>
      </w:r>
      <w:r w:rsidRPr="005E36CC">
        <w:rPr>
          <w:sz w:val="18"/>
          <w:szCs w:val="18"/>
        </w:rPr>
        <w:t>le dinamiche del mercato dell</w:t>
      </w:r>
      <w:r w:rsidR="00A1110F" w:rsidRPr="005E36CC">
        <w:rPr>
          <w:sz w:val="18"/>
          <w:szCs w:val="18"/>
        </w:rPr>
        <w:t>’informazione e della</w:t>
      </w:r>
      <w:r w:rsidRPr="005E36CC">
        <w:rPr>
          <w:sz w:val="18"/>
          <w:szCs w:val="18"/>
        </w:rPr>
        <w:t xml:space="preserve"> comunicazione</w:t>
      </w:r>
      <w:r w:rsidR="00A1110F" w:rsidRPr="005E36CC">
        <w:rPr>
          <w:sz w:val="18"/>
          <w:szCs w:val="18"/>
        </w:rPr>
        <w:t xml:space="preserve"> attraverso l</w:t>
      </w:r>
      <w:r w:rsidR="0068547F" w:rsidRPr="005E36CC">
        <w:rPr>
          <w:sz w:val="18"/>
          <w:szCs w:val="18"/>
        </w:rPr>
        <w:t xml:space="preserve">’analisi </w:t>
      </w:r>
      <w:r w:rsidR="00A1110F" w:rsidRPr="005E36CC">
        <w:rPr>
          <w:sz w:val="18"/>
          <w:szCs w:val="18"/>
        </w:rPr>
        <w:t>di casi pratici</w:t>
      </w:r>
      <w:r w:rsidR="0068547F" w:rsidRPr="005E36CC">
        <w:rPr>
          <w:sz w:val="18"/>
          <w:szCs w:val="18"/>
        </w:rPr>
        <w:t xml:space="preserve"> e di verificare l’impatto della rete internet e delle nuove tecnologie sulla concorrenza e sulla libertà di iniziativa economica. </w:t>
      </w:r>
    </w:p>
    <w:p w14:paraId="4E01C49E" w14:textId="77777777" w:rsidR="00041863" w:rsidRPr="00B31356" w:rsidRDefault="00041863" w:rsidP="00041863">
      <w:pPr>
        <w:tabs>
          <w:tab w:val="clear" w:pos="284"/>
        </w:tabs>
        <w:spacing w:before="240" w:after="120"/>
        <w:rPr>
          <w:rFonts w:eastAsia="MS Mincho"/>
          <w:b/>
          <w:sz w:val="18"/>
        </w:rPr>
      </w:pPr>
      <w:r w:rsidRPr="00B31356">
        <w:rPr>
          <w:rFonts w:eastAsia="MS Mincho"/>
          <w:b/>
          <w:i/>
          <w:sz w:val="18"/>
        </w:rPr>
        <w:t>PROGRAMMA DEL CORSO</w:t>
      </w:r>
      <w:r>
        <w:rPr>
          <w:rFonts w:eastAsia="MS Mincho"/>
          <w:b/>
          <w:i/>
          <w:sz w:val="18"/>
        </w:rPr>
        <w:t xml:space="preserve"> </w:t>
      </w:r>
    </w:p>
    <w:p w14:paraId="34E0CE7F" w14:textId="5E87EE40" w:rsidR="00041863" w:rsidRPr="005E36CC" w:rsidRDefault="00041863" w:rsidP="00041863">
      <w:pPr>
        <w:tabs>
          <w:tab w:val="clear" w:pos="284"/>
        </w:tabs>
        <w:rPr>
          <w:rFonts w:eastAsia="MS Mincho"/>
          <w:sz w:val="18"/>
          <w:szCs w:val="18"/>
        </w:rPr>
      </w:pPr>
      <w:r w:rsidRPr="005E36CC">
        <w:rPr>
          <w:rFonts w:eastAsia="MS Mincho"/>
          <w:sz w:val="18"/>
          <w:szCs w:val="18"/>
        </w:rPr>
        <w:t xml:space="preserve">La disciplina costituzionale della libertà di informazione e comunicazione con particolare riferimento alla matrice contenutistica delle due libertà alla luce della convergenza multimediale. La dimensione concorrenziale del fenomeno comunicativo alla luce dei principi costituzionali e dell’Unione Europea. Concorrenza sleale </w:t>
      </w:r>
      <w:r w:rsidR="00386F1E">
        <w:rPr>
          <w:rFonts w:eastAsia="MS Mincho"/>
          <w:sz w:val="18"/>
          <w:szCs w:val="18"/>
        </w:rPr>
        <w:t xml:space="preserve">e pratiche commerciali scorrette </w:t>
      </w:r>
      <w:r w:rsidRPr="005E36CC">
        <w:rPr>
          <w:rFonts w:eastAsia="MS Mincho"/>
          <w:sz w:val="18"/>
          <w:szCs w:val="18"/>
        </w:rPr>
        <w:t>nelle differenti fattispecie. La disciplina antitrust. Gli attori della regolazione: Autorità garante della concorrenza e del mercato – Autorità per le garanzie nelle comunicazioni. Convergenza dei mercati e delle piattaforme tecnologiche. Mercat</w:t>
      </w:r>
      <w:r w:rsidR="005E36CC" w:rsidRPr="005E36CC">
        <w:rPr>
          <w:rFonts w:eastAsia="MS Mincho"/>
          <w:sz w:val="18"/>
          <w:szCs w:val="18"/>
        </w:rPr>
        <w:t>o</w:t>
      </w:r>
      <w:r w:rsidRPr="005E36CC">
        <w:rPr>
          <w:rFonts w:eastAsia="MS Mincho"/>
          <w:sz w:val="18"/>
          <w:szCs w:val="18"/>
        </w:rPr>
        <w:t xml:space="preserve"> delle comunicazioni elettroniche. Disciplina delle comunicazioni commerciali audiovisive. Sistema dei controlli e responsabilità del provider. Trattamento dei dati personali: privacy – concorrenza – Big Data.</w:t>
      </w:r>
    </w:p>
    <w:p w14:paraId="2F5EA399" w14:textId="02075D09" w:rsidR="002D5E17" w:rsidRPr="00EB022F" w:rsidRDefault="00041863" w:rsidP="00EB022F">
      <w:pPr>
        <w:tabs>
          <w:tab w:val="clear" w:pos="284"/>
        </w:tabs>
        <w:spacing w:before="240" w:after="120"/>
        <w:rPr>
          <w:rFonts w:eastAsia="MS Mincho"/>
          <w:b/>
          <w:i/>
          <w:sz w:val="18"/>
        </w:rPr>
      </w:pPr>
      <w:r w:rsidRPr="00EB022F">
        <w:rPr>
          <w:rFonts w:eastAsia="MS Mincho"/>
          <w:b/>
          <w:i/>
          <w:sz w:val="18"/>
        </w:rPr>
        <w:t>BIBLIOGRAFIA</w:t>
      </w:r>
      <w:r w:rsidR="0057286B">
        <w:rPr>
          <w:rStyle w:val="Rimandonotaapidipagina"/>
          <w:rFonts w:eastAsia="MS Mincho"/>
          <w:b/>
          <w:i/>
          <w:sz w:val="18"/>
        </w:rPr>
        <w:footnoteReference w:id="1"/>
      </w:r>
    </w:p>
    <w:p w14:paraId="5CB6E6AB" w14:textId="77777777" w:rsidR="00041863" w:rsidRPr="00DE20D5" w:rsidRDefault="00041863" w:rsidP="009A7E30">
      <w:pPr>
        <w:pStyle w:val="Testo1"/>
        <w:ind w:left="0" w:firstLine="0"/>
        <w:rPr>
          <w:b/>
          <w:i/>
          <w:sz w:val="20"/>
        </w:rPr>
      </w:pPr>
      <w:r w:rsidRPr="00041863">
        <w:lastRenderedPageBreak/>
        <w:t>La bibliografia sarà indicata alla prima lezione del corso e poi pubblicata sulla pagina docente.</w:t>
      </w:r>
      <w:r w:rsidR="005E36CC">
        <w:t xml:space="preserve"> </w:t>
      </w:r>
      <w:r w:rsidRPr="00041863">
        <w:t>Ulteriore materiale verrà fornito nel corso delle lezioni e reso disponibile su</w:t>
      </w:r>
      <w:r w:rsidRPr="00DE20D5">
        <w:rPr>
          <w:sz w:val="20"/>
        </w:rPr>
        <w:t xml:space="preserve"> </w:t>
      </w:r>
      <w:r w:rsidRPr="00041863">
        <w:rPr>
          <w:i/>
        </w:rPr>
        <w:t>Blackboard</w:t>
      </w:r>
      <w:r w:rsidRPr="00041863">
        <w:t>.</w:t>
      </w:r>
    </w:p>
    <w:p w14:paraId="6FBC0FE6" w14:textId="77777777" w:rsidR="00041863" w:rsidRPr="00B31356" w:rsidRDefault="00041863" w:rsidP="00041863">
      <w:pPr>
        <w:tabs>
          <w:tab w:val="clear" w:pos="284"/>
        </w:tabs>
        <w:spacing w:before="240" w:after="120" w:line="220" w:lineRule="exact"/>
        <w:rPr>
          <w:rFonts w:eastAsia="MS Mincho"/>
          <w:b/>
          <w:i/>
          <w:sz w:val="18"/>
        </w:rPr>
      </w:pPr>
      <w:r w:rsidRPr="00B31356">
        <w:rPr>
          <w:rFonts w:eastAsia="MS Mincho"/>
          <w:b/>
          <w:i/>
          <w:sz w:val="18"/>
        </w:rPr>
        <w:t>DIDATTICA DEL CORSO</w:t>
      </w:r>
    </w:p>
    <w:p w14:paraId="1CBAEC55" w14:textId="77777777" w:rsidR="00041863" w:rsidRPr="00041863" w:rsidRDefault="00041863" w:rsidP="00041863">
      <w:pPr>
        <w:pStyle w:val="Testo2"/>
      </w:pPr>
      <w:r w:rsidRPr="00041863">
        <w:t>Lezioni in aula, commenti di sentenze e decisioni delle Autorità amministrative indipendenti, seminari.</w:t>
      </w:r>
    </w:p>
    <w:p w14:paraId="4A09436F" w14:textId="77777777" w:rsidR="00041863" w:rsidRPr="00B31356" w:rsidRDefault="00041863" w:rsidP="00041863">
      <w:pPr>
        <w:tabs>
          <w:tab w:val="clear" w:pos="284"/>
        </w:tabs>
        <w:spacing w:before="240" w:after="120" w:line="220" w:lineRule="exact"/>
        <w:rPr>
          <w:rFonts w:eastAsia="MS Mincho"/>
          <w:b/>
          <w:i/>
          <w:sz w:val="18"/>
        </w:rPr>
      </w:pPr>
      <w:r>
        <w:rPr>
          <w:rFonts w:eastAsia="MS Mincho"/>
          <w:b/>
          <w:i/>
          <w:sz w:val="18"/>
        </w:rPr>
        <w:t>METODI E CRITERI</w:t>
      </w:r>
      <w:r w:rsidRPr="00B31356">
        <w:rPr>
          <w:rFonts w:eastAsia="MS Mincho"/>
          <w:b/>
          <w:i/>
          <w:sz w:val="18"/>
        </w:rPr>
        <w:t xml:space="preserve"> DI VALUTAZIONE</w:t>
      </w:r>
    </w:p>
    <w:p w14:paraId="606CC8E5" w14:textId="477C2389" w:rsidR="00041863" w:rsidRPr="00DE20D5" w:rsidRDefault="00041863" w:rsidP="00041863">
      <w:pPr>
        <w:pStyle w:val="Testo2"/>
      </w:pPr>
      <w:r w:rsidRPr="00DE20D5">
        <w:t xml:space="preserve">L’esame si svolgerà in forma orale. Gli studenti che frequentano le lezioni potranno, facoltativamente, presentare in aula un lavoro </w:t>
      </w:r>
      <w:r w:rsidR="00994D02">
        <w:t xml:space="preserve">individuale o </w:t>
      </w:r>
      <w:r w:rsidRPr="00DE20D5">
        <w:t xml:space="preserve">di gruppo </w:t>
      </w:r>
      <w:r w:rsidR="00994D02">
        <w:t xml:space="preserve">consistente nell’analisi di una decisione, </w:t>
      </w:r>
      <w:r w:rsidRPr="00DE20D5">
        <w:t>che costituirà oggetto dell’esame fina</w:t>
      </w:r>
      <w:r>
        <w:t xml:space="preserve">le e permetterà di ricevere due </w:t>
      </w:r>
      <w:r w:rsidRPr="00DE20D5">
        <w:t>punti aggiuntivi</w:t>
      </w:r>
      <w:r>
        <w:t xml:space="preserve"> nella valutazione finale</w:t>
      </w:r>
      <w:r w:rsidRPr="00DE20D5">
        <w:t xml:space="preserve">. </w:t>
      </w:r>
      <w:r w:rsidR="001436C6">
        <w:t xml:space="preserve">I non frequentanti potranno svolgere un lavoro di analisi e approfondimento di </w:t>
      </w:r>
      <w:r w:rsidR="009A7E30">
        <w:t xml:space="preserve">tre </w:t>
      </w:r>
      <w:r w:rsidR="001436C6">
        <w:t>decisione a scelta</w:t>
      </w:r>
      <w:r w:rsidR="00AA4862">
        <w:t>,</w:t>
      </w:r>
      <w:r w:rsidR="001436C6">
        <w:t xml:space="preserve"> messa a disposizione su blackboard</w:t>
      </w:r>
      <w:r w:rsidR="00AA4862">
        <w:t>, che costituirà oggetto dell’esame finale e permetterà di conseguire due punti aggiuntivi.</w:t>
      </w:r>
      <w:r w:rsidR="001436C6">
        <w:t xml:space="preserve"> </w:t>
      </w:r>
      <w:r w:rsidRPr="00DE20D5">
        <w:t xml:space="preserve">La valutazione </w:t>
      </w:r>
      <w:r w:rsidR="00AA4862">
        <w:t xml:space="preserve">avrà ad oggetto </w:t>
      </w:r>
      <w:r w:rsidRPr="00DE20D5">
        <w:t xml:space="preserve">le conoscenze </w:t>
      </w:r>
      <w:r w:rsidR="00AA4862">
        <w:t xml:space="preserve">acquisite </w:t>
      </w:r>
      <w:r w:rsidRPr="00DE20D5">
        <w:t xml:space="preserve">sugli argomenti contenuti nel materiale indicato </w:t>
      </w:r>
      <w:r w:rsidR="00AA4862">
        <w:t>ad inizio lezione e reso disponibile su blackboard</w:t>
      </w:r>
      <w:r w:rsidR="009A7E30">
        <w:t>, nonchè</w:t>
      </w:r>
      <w:r w:rsidR="00AA4862">
        <w:t xml:space="preserve"> il lavoro individuale o di gruppo svolto.</w:t>
      </w:r>
      <w:r w:rsidRPr="00DE20D5">
        <w:t xml:space="preserve"> Si terrà conto della capacità di cogliere i collegamenti tra le diverse tematiche affrontate, della chiarezza espositiva, della capacità di cogliere nei diversi fenomeni i principi che li governano e la </w:t>
      </w:r>
      <w:r w:rsidRPr="009A7E30">
        <w:rPr>
          <w:i/>
          <w:iCs/>
        </w:rPr>
        <w:t>ratio</w:t>
      </w:r>
      <w:r w:rsidRPr="00DE20D5">
        <w:t xml:space="preserve"> sottesa ad essi.</w:t>
      </w:r>
    </w:p>
    <w:p w14:paraId="4863F5A6" w14:textId="77777777" w:rsidR="00041863" w:rsidRPr="00B31356" w:rsidRDefault="00041863" w:rsidP="00041863">
      <w:pPr>
        <w:tabs>
          <w:tab w:val="clear" w:pos="284"/>
        </w:tabs>
        <w:spacing w:before="240" w:after="120"/>
        <w:rPr>
          <w:rFonts w:eastAsia="MS Mincho"/>
          <w:b/>
          <w:i/>
          <w:sz w:val="18"/>
        </w:rPr>
      </w:pPr>
      <w:r w:rsidRPr="00B31356">
        <w:rPr>
          <w:rFonts w:eastAsia="MS Mincho"/>
          <w:b/>
          <w:i/>
          <w:sz w:val="18"/>
        </w:rPr>
        <w:t>AVVERTENZE</w:t>
      </w:r>
      <w:r>
        <w:rPr>
          <w:rFonts w:eastAsia="MS Mincho"/>
          <w:b/>
          <w:i/>
          <w:sz w:val="18"/>
        </w:rPr>
        <w:t xml:space="preserve"> E PREREQUISITI</w:t>
      </w:r>
    </w:p>
    <w:p w14:paraId="3DD3AFD4" w14:textId="1FCBF135" w:rsidR="00B93E69" w:rsidRPr="00B93E69" w:rsidRDefault="00041863" w:rsidP="00FC4F7D">
      <w:pPr>
        <w:spacing w:line="220" w:lineRule="exact"/>
        <w:ind w:firstLine="284"/>
        <w:rPr>
          <w:rFonts w:ascii="Times" w:hAnsi="Times"/>
          <w:sz w:val="18"/>
          <w:szCs w:val="18"/>
        </w:rPr>
      </w:pPr>
      <w:r w:rsidRPr="00B93E69">
        <w:rPr>
          <w:rFonts w:ascii="Times" w:hAnsi="Times"/>
          <w:sz w:val="18"/>
          <w:szCs w:val="18"/>
        </w:rPr>
        <w:t>È consigliata la conoscenza degli elementi fondamentali di Istituzioni di diritto pubblico. Verranno c</w:t>
      </w:r>
      <w:r w:rsidR="009A7E30">
        <w:rPr>
          <w:rFonts w:ascii="Times" w:hAnsi="Times"/>
          <w:sz w:val="18"/>
          <w:szCs w:val="18"/>
        </w:rPr>
        <w:t>o</w:t>
      </w:r>
      <w:r w:rsidRPr="00B93E69">
        <w:rPr>
          <w:rFonts w:ascii="Times" w:hAnsi="Times"/>
          <w:sz w:val="18"/>
          <w:szCs w:val="18"/>
        </w:rPr>
        <w:t>munque impartite alcune nozioni di base nelle prime lezioni per agevolare la comprensione degli argomenti.</w:t>
      </w:r>
      <w:r w:rsidR="00B93E69" w:rsidRPr="00B93E69">
        <w:rPr>
          <w:rFonts w:ascii="Times" w:hAnsi="Times"/>
          <w:sz w:val="18"/>
          <w:szCs w:val="18"/>
        </w:rPr>
        <w:t xml:space="preserve"> Nel caso in cui la situazione sanitaria relativa alla pandemia di Covid-19 non dovesse consentire la didattica in presenza, sarà garantita l’erogazione a distanza dell’insegnamento con modalità che verranno comunicate in tempo utile agli studenti</w:t>
      </w:r>
      <w:r w:rsidR="00B93E69">
        <w:rPr>
          <w:rFonts w:ascii="Times" w:hAnsi="Times"/>
          <w:sz w:val="18"/>
          <w:szCs w:val="18"/>
        </w:rPr>
        <w:t>.</w:t>
      </w:r>
    </w:p>
    <w:p w14:paraId="004F5870" w14:textId="77777777" w:rsidR="00041863" w:rsidRPr="00041863" w:rsidRDefault="00041863" w:rsidP="00041863">
      <w:pPr>
        <w:tabs>
          <w:tab w:val="clear" w:pos="284"/>
        </w:tabs>
        <w:spacing w:before="120" w:line="220" w:lineRule="exact"/>
        <w:ind w:firstLine="284"/>
        <w:rPr>
          <w:rFonts w:ascii="Times" w:hAnsi="Times"/>
          <w:i/>
          <w:noProof/>
          <w:sz w:val="18"/>
          <w:szCs w:val="20"/>
        </w:rPr>
      </w:pPr>
      <w:r w:rsidRPr="00041863">
        <w:rPr>
          <w:rFonts w:ascii="Times" w:hAnsi="Times"/>
          <w:i/>
          <w:noProof/>
          <w:sz w:val="18"/>
          <w:szCs w:val="20"/>
        </w:rPr>
        <w:t>Orario e luogo di ricevimento</w:t>
      </w:r>
    </w:p>
    <w:p w14:paraId="7F007CDA" w14:textId="77577187" w:rsidR="00041863" w:rsidRPr="00041863" w:rsidRDefault="009F0199" w:rsidP="00041863">
      <w:pPr>
        <w:tabs>
          <w:tab w:val="clear" w:pos="284"/>
        </w:tabs>
        <w:spacing w:line="220" w:lineRule="exact"/>
        <w:ind w:firstLine="284"/>
        <w:rPr>
          <w:sz w:val="18"/>
          <w:szCs w:val="20"/>
        </w:rPr>
      </w:pPr>
      <w:r>
        <w:rPr>
          <w:rFonts w:ascii="Times" w:hAnsi="Times"/>
          <w:noProof/>
          <w:sz w:val="18"/>
          <w:szCs w:val="20"/>
        </w:rPr>
        <w:t>La</w:t>
      </w:r>
      <w:r w:rsidR="00041863" w:rsidRPr="00041863">
        <w:rPr>
          <w:rFonts w:ascii="Times" w:hAnsi="Times"/>
          <w:noProof/>
          <w:sz w:val="18"/>
          <w:szCs w:val="20"/>
        </w:rPr>
        <w:t xml:space="preserve"> Prof.</w:t>
      </w:r>
      <w:r>
        <w:rPr>
          <w:rFonts w:ascii="Times" w:hAnsi="Times"/>
          <w:noProof/>
          <w:sz w:val="18"/>
          <w:szCs w:val="20"/>
        </w:rPr>
        <w:t>ssa</w:t>
      </w:r>
      <w:r w:rsidR="00041863" w:rsidRPr="00041863">
        <w:rPr>
          <w:rFonts w:ascii="Times" w:hAnsi="Times"/>
          <w:noProof/>
          <w:sz w:val="18"/>
          <w:szCs w:val="20"/>
        </w:rPr>
        <w:t xml:space="preserve"> Debora Caldirola riceve gli studenti il lunedì mattina dalle ore 9,30 alle ore 11,30 presso il Dipartimento di Scienze giuridiche. Gli studenti potranno chiedere un appuntamento, anche fuori dall’orario di ricevimento, tramite invio di email all’indirizzo </w:t>
      </w:r>
      <w:r w:rsidR="00041863" w:rsidRPr="00EB022F">
        <w:rPr>
          <w:rFonts w:ascii="Times" w:hAnsi="Times"/>
          <w:i/>
          <w:noProof/>
          <w:sz w:val="18"/>
          <w:szCs w:val="20"/>
        </w:rPr>
        <w:t>debora.caldirola@unicatt.it</w:t>
      </w:r>
      <w:r w:rsidR="00041863" w:rsidRPr="00041863">
        <w:rPr>
          <w:rFonts w:ascii="Times" w:hAnsi="Times"/>
          <w:noProof/>
          <w:sz w:val="18"/>
          <w:szCs w:val="20"/>
        </w:rPr>
        <w:t>.</w:t>
      </w:r>
    </w:p>
    <w:sectPr w:rsidR="00041863" w:rsidRPr="0004186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DA9E1" w14:textId="77777777" w:rsidR="0057286B" w:rsidRDefault="0057286B" w:rsidP="0057286B">
      <w:pPr>
        <w:spacing w:line="240" w:lineRule="auto"/>
      </w:pPr>
      <w:r>
        <w:separator/>
      </w:r>
    </w:p>
  </w:endnote>
  <w:endnote w:type="continuationSeparator" w:id="0">
    <w:p w14:paraId="6B772061" w14:textId="77777777" w:rsidR="0057286B" w:rsidRDefault="0057286B" w:rsidP="00572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AF744" w14:textId="77777777" w:rsidR="0057286B" w:rsidRDefault="0057286B" w:rsidP="0057286B">
      <w:pPr>
        <w:spacing w:line="240" w:lineRule="auto"/>
      </w:pPr>
      <w:r>
        <w:separator/>
      </w:r>
    </w:p>
  </w:footnote>
  <w:footnote w:type="continuationSeparator" w:id="0">
    <w:p w14:paraId="7A555A35" w14:textId="77777777" w:rsidR="0057286B" w:rsidRDefault="0057286B" w:rsidP="0057286B">
      <w:pPr>
        <w:spacing w:line="240" w:lineRule="auto"/>
      </w:pPr>
      <w:r>
        <w:continuationSeparator/>
      </w:r>
    </w:p>
  </w:footnote>
  <w:footnote w:id="1">
    <w:p w14:paraId="6F88C15D" w14:textId="5E401A88" w:rsidR="0057286B" w:rsidRDefault="0057286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63"/>
    <w:rsid w:val="00041863"/>
    <w:rsid w:val="001436C6"/>
    <w:rsid w:val="0016429E"/>
    <w:rsid w:val="00187B99"/>
    <w:rsid w:val="002014DD"/>
    <w:rsid w:val="00273744"/>
    <w:rsid w:val="002C6D5E"/>
    <w:rsid w:val="002D5E17"/>
    <w:rsid w:val="00363DB3"/>
    <w:rsid w:val="00386F1E"/>
    <w:rsid w:val="003D568C"/>
    <w:rsid w:val="004D1217"/>
    <w:rsid w:val="004D6008"/>
    <w:rsid w:val="0057286B"/>
    <w:rsid w:val="005E36CC"/>
    <w:rsid w:val="00640794"/>
    <w:rsid w:val="0068547F"/>
    <w:rsid w:val="00692815"/>
    <w:rsid w:val="006F1772"/>
    <w:rsid w:val="00814466"/>
    <w:rsid w:val="008942E7"/>
    <w:rsid w:val="008A1204"/>
    <w:rsid w:val="008E272A"/>
    <w:rsid w:val="00900CCA"/>
    <w:rsid w:val="00924B77"/>
    <w:rsid w:val="00940DA2"/>
    <w:rsid w:val="0095773A"/>
    <w:rsid w:val="00994D02"/>
    <w:rsid w:val="009A7E30"/>
    <w:rsid w:val="009E055C"/>
    <w:rsid w:val="009F0199"/>
    <w:rsid w:val="00A1110F"/>
    <w:rsid w:val="00A74F6F"/>
    <w:rsid w:val="00AA4862"/>
    <w:rsid w:val="00AB5A36"/>
    <w:rsid w:val="00AD7557"/>
    <w:rsid w:val="00B50C5D"/>
    <w:rsid w:val="00B51253"/>
    <w:rsid w:val="00B525CC"/>
    <w:rsid w:val="00B93E69"/>
    <w:rsid w:val="00D404F2"/>
    <w:rsid w:val="00E607E6"/>
    <w:rsid w:val="00EB022F"/>
    <w:rsid w:val="00EC4567"/>
    <w:rsid w:val="00FB2AEF"/>
    <w:rsid w:val="00FC4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0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C4F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5773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5773A"/>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57286B"/>
    <w:pPr>
      <w:spacing w:line="240" w:lineRule="auto"/>
    </w:pPr>
    <w:rPr>
      <w:szCs w:val="20"/>
    </w:rPr>
  </w:style>
  <w:style w:type="character" w:customStyle="1" w:styleId="TestonotaapidipaginaCarattere">
    <w:name w:val="Testo nota a piè di pagina Carattere"/>
    <w:basedOn w:val="Carpredefinitoparagrafo"/>
    <w:link w:val="Testonotaapidipagina"/>
    <w:rsid w:val="0057286B"/>
  </w:style>
  <w:style w:type="character" w:styleId="Rimandonotaapidipagina">
    <w:name w:val="footnote reference"/>
    <w:basedOn w:val="Carpredefinitoparagrafo"/>
    <w:rsid w:val="005728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C4F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5773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5773A"/>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57286B"/>
    <w:pPr>
      <w:spacing w:line="240" w:lineRule="auto"/>
    </w:pPr>
    <w:rPr>
      <w:szCs w:val="20"/>
    </w:rPr>
  </w:style>
  <w:style w:type="character" w:customStyle="1" w:styleId="TestonotaapidipaginaCarattere">
    <w:name w:val="Testo nota a piè di pagina Carattere"/>
    <w:basedOn w:val="Carpredefinitoparagrafo"/>
    <w:link w:val="Testonotaapidipagina"/>
    <w:rsid w:val="0057286B"/>
  </w:style>
  <w:style w:type="character" w:styleId="Rimandonotaapidipagina">
    <w:name w:val="footnote reference"/>
    <w:basedOn w:val="Carpredefinitoparagrafo"/>
    <w:rsid w:val="00572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D6F0-E24E-484B-BE44-D363B76A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578</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2022-05-10T12:04:00Z</dcterms:created>
  <dcterms:modified xsi:type="dcterms:W3CDTF">2022-07-22T12:24:00Z</dcterms:modified>
</cp:coreProperties>
</file>