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ED" w:rsidRPr="003D7559" w:rsidRDefault="002D5CED" w:rsidP="003D7559">
      <w:pPr>
        <w:pStyle w:val="Titolo1"/>
      </w:pPr>
      <w:r w:rsidRPr="003D7559">
        <w:t>Integrazione europea: storia e politiche</w:t>
      </w:r>
    </w:p>
    <w:p w:rsidR="00125983" w:rsidRPr="003D7559" w:rsidRDefault="00125983" w:rsidP="00125983">
      <w:pPr>
        <w:pStyle w:val="Titolo2"/>
      </w:pPr>
      <w:r w:rsidRPr="003D7559">
        <w:t xml:space="preserve">Prof. </w:t>
      </w:r>
      <w:r>
        <w:t xml:space="preserve">Davide Borsani; </w:t>
      </w:r>
      <w:r w:rsidRPr="003D7559">
        <w:t>Prof.</w:t>
      </w:r>
      <w:r>
        <w:t xml:space="preserve"> </w:t>
      </w:r>
      <w:r w:rsidRPr="003D7559">
        <w:t>Silvio Cot</w:t>
      </w:r>
      <w:r>
        <w:t>ellessa</w:t>
      </w:r>
    </w:p>
    <w:p w:rsidR="002D5CED" w:rsidRDefault="002D5CED" w:rsidP="002D5CED">
      <w:pPr>
        <w:spacing w:before="240" w:after="120" w:line="240" w:lineRule="exact"/>
        <w:rPr>
          <w:b/>
          <w:sz w:val="18"/>
        </w:rPr>
      </w:pPr>
      <w:r>
        <w:rPr>
          <w:b/>
          <w:i/>
          <w:sz w:val="18"/>
        </w:rPr>
        <w:t>OBIETTIVO DEL CORSO E RISULTATI DI APPRENDIMENTO ATTESI</w:t>
      </w:r>
    </w:p>
    <w:p w:rsidR="002D5CED" w:rsidRDefault="002D5CED" w:rsidP="009568E6">
      <w:pPr>
        <w:spacing w:line="240" w:lineRule="exact"/>
      </w:pPr>
      <w:r>
        <w:t xml:space="preserve">Il corso ha l’obiettivo di fornire gli strumenti per orientarsi nel contesto delle molteplici analisi del processo di integrazione europea, con riguardo in particolare al modo in cui i più accreditati osservatori (leader politici, esperti, opinion maker) descrivono ciò che sta accadendo oggi in Europa. </w:t>
      </w:r>
    </w:p>
    <w:p w:rsidR="002D5CED" w:rsidRPr="002D5CED" w:rsidRDefault="002D5CED" w:rsidP="009568E6">
      <w:pPr>
        <w:spacing w:before="120" w:line="240" w:lineRule="exact"/>
        <w:rPr>
          <w:i/>
        </w:rPr>
      </w:pPr>
      <w:r w:rsidRPr="002D5CED">
        <w:rPr>
          <w:i/>
        </w:rPr>
        <w:t>Conoscenza e comprensione</w:t>
      </w:r>
    </w:p>
    <w:p w:rsidR="002D5CED" w:rsidRDefault="002D5CED" w:rsidP="009568E6">
      <w:pPr>
        <w:spacing w:line="240" w:lineRule="exact"/>
      </w:pPr>
      <w:r>
        <w:t xml:space="preserve">Al termine del corso gli studenti saranno in grado di adottare gli strumenti di analisi per interagire con le dinamiche e i processi d’integrazione europea, sia a livello della comprensione delle più ampie dinamiche internazionali, sia sul piano delle politiche nazionali. </w:t>
      </w:r>
    </w:p>
    <w:p w:rsidR="002D5CED" w:rsidRPr="002D5CED" w:rsidRDefault="002D5CED" w:rsidP="009568E6">
      <w:pPr>
        <w:spacing w:before="120" w:line="240" w:lineRule="exact"/>
        <w:rPr>
          <w:i/>
        </w:rPr>
      </w:pPr>
      <w:r w:rsidRPr="002D5CED">
        <w:rPr>
          <w:i/>
        </w:rPr>
        <w:t xml:space="preserve">Capacità di applicare conoscenza e comprensione </w:t>
      </w:r>
    </w:p>
    <w:p w:rsidR="002D5CED" w:rsidRPr="007F121B" w:rsidRDefault="002D5CED" w:rsidP="009568E6">
      <w:pPr>
        <w:spacing w:line="240" w:lineRule="exact"/>
      </w:pPr>
      <w:r>
        <w:t>Al termine del corso, gli studenti acquisiranno gli strumenti di lettura dei processi di integrazione europea,</w:t>
      </w:r>
      <w:r w:rsidRPr="007F121B">
        <w:t xml:space="preserve"> perfezion</w:t>
      </w:r>
      <w:r>
        <w:t>ando</w:t>
      </w:r>
      <w:r w:rsidRPr="007F121B">
        <w:t xml:space="preserve"> le loro capacità di lavorare in gruppo e le loro attitudin</w:t>
      </w:r>
      <w:r>
        <w:t>i</w:t>
      </w:r>
      <w:r w:rsidRPr="007F121B">
        <w:t xml:space="preserve"> comunicative.</w:t>
      </w:r>
    </w:p>
    <w:p w:rsidR="002D5CED" w:rsidRPr="002D5CED" w:rsidRDefault="002D5CED" w:rsidP="009568E6">
      <w:pPr>
        <w:spacing w:before="240" w:after="120" w:line="240" w:lineRule="exact"/>
        <w:rPr>
          <w:b/>
          <w:sz w:val="18"/>
        </w:rPr>
      </w:pPr>
      <w:r>
        <w:rPr>
          <w:b/>
          <w:i/>
          <w:sz w:val="18"/>
        </w:rPr>
        <w:t>PROGRAMMA DEL CORSO</w:t>
      </w:r>
    </w:p>
    <w:p w:rsidR="002D5CED" w:rsidRDefault="002D5CED" w:rsidP="00C407AA">
      <w:pPr>
        <w:spacing w:line="240" w:lineRule="exact"/>
      </w:pPr>
      <w:r>
        <w:t>Il</w:t>
      </w:r>
      <w:r w:rsidR="003B28E6">
        <w:t xml:space="preserve"> corso è suddiviso in due parti</w:t>
      </w:r>
      <w:r>
        <w:t xml:space="preserve">. </w:t>
      </w:r>
      <w:r w:rsidR="003B28E6">
        <w:t xml:space="preserve">La prima parte </w:t>
      </w:r>
      <w:r>
        <w:t>si propone di ripercorrere i principali passaggi storici del processo di integrazione europea nel quadro degli scenari inte</w:t>
      </w:r>
      <w:r w:rsidR="003B28E6">
        <w:t>rnazionali che si sono succeduti</w:t>
      </w:r>
      <w:r>
        <w:t xml:space="preserve"> a partire dal secondo dopoguerra fino ai giorni n</w:t>
      </w:r>
      <w:r w:rsidR="003B28E6">
        <w:t>ostri. La seconda parte</w:t>
      </w:r>
      <w:r>
        <w:t xml:space="preserve"> appro</w:t>
      </w:r>
      <w:r w:rsidR="00154CFA">
        <w:t xml:space="preserve">fondisce </w:t>
      </w:r>
      <w:r>
        <w:t xml:space="preserve">le </w:t>
      </w:r>
      <w:r w:rsidR="003B28E6">
        <w:t xml:space="preserve">analisi </w:t>
      </w:r>
      <w:r>
        <w:t>dell’integrazione europea sotto il profilo delle politiche che l’Unione europea ha messo in campo per fronteggiare l</w:t>
      </w:r>
      <w:r w:rsidR="003B28E6">
        <w:t xml:space="preserve">e più importanti sfide </w:t>
      </w:r>
      <w:r w:rsidR="00825343">
        <w:t>nel camp</w:t>
      </w:r>
      <w:r w:rsidR="00C407AA">
        <w:t>o delle relazioni interstatali,</w:t>
      </w:r>
      <w:r w:rsidR="00825343">
        <w:t xml:space="preserve"> sovranazionali</w:t>
      </w:r>
      <w:r w:rsidR="00C407AA">
        <w:t xml:space="preserve"> e internazionali</w:t>
      </w:r>
      <w:r>
        <w:t>.</w:t>
      </w:r>
    </w:p>
    <w:p w:rsidR="002D5CED" w:rsidRPr="009568E6" w:rsidRDefault="002D5CED" w:rsidP="009568E6">
      <w:pPr>
        <w:spacing w:before="240" w:after="120" w:line="240" w:lineRule="exact"/>
        <w:rPr>
          <w:b/>
          <w:i/>
          <w:sz w:val="18"/>
        </w:rPr>
      </w:pPr>
      <w:r>
        <w:rPr>
          <w:b/>
          <w:i/>
          <w:sz w:val="18"/>
        </w:rPr>
        <w:t>BIBLIOGRAFIA</w:t>
      </w:r>
      <w:r w:rsidR="00DC6C88">
        <w:rPr>
          <w:rStyle w:val="Rimandonotaapidipagina"/>
          <w:b/>
          <w:i/>
          <w:sz w:val="18"/>
        </w:rPr>
        <w:footnoteReference w:id="1"/>
      </w:r>
    </w:p>
    <w:p w:rsidR="002D5CED" w:rsidRPr="003D7559" w:rsidRDefault="002D5CED" w:rsidP="003D7559">
      <w:pPr>
        <w:pStyle w:val="Testo1"/>
        <w:rPr>
          <w:i/>
        </w:rPr>
      </w:pPr>
      <w:r w:rsidRPr="003D7559">
        <w:t xml:space="preserve">Per i </w:t>
      </w:r>
      <w:r w:rsidRPr="003D7559">
        <w:rPr>
          <w:i/>
        </w:rPr>
        <w:t>frequentanti</w:t>
      </w:r>
    </w:p>
    <w:p w:rsidR="002D5CED" w:rsidRPr="003D7559" w:rsidRDefault="002D5CED" w:rsidP="003D7559">
      <w:pPr>
        <w:pStyle w:val="Testo1"/>
        <w:spacing w:before="0"/>
      </w:pPr>
      <w:r w:rsidRPr="003D7559">
        <w:t xml:space="preserve">Appunti del corso e materiali bibliografici forniti durante le lezioni. </w:t>
      </w:r>
    </w:p>
    <w:p w:rsidR="002D5CED" w:rsidRPr="00154CFA" w:rsidRDefault="002D5CED" w:rsidP="003D7559">
      <w:pPr>
        <w:pStyle w:val="Testo1"/>
        <w:rPr>
          <w:szCs w:val="18"/>
        </w:rPr>
      </w:pPr>
      <w:r w:rsidRPr="00154CFA">
        <w:rPr>
          <w:szCs w:val="18"/>
        </w:rPr>
        <w:t xml:space="preserve">Per gli </w:t>
      </w:r>
      <w:r w:rsidRPr="00154CFA">
        <w:rPr>
          <w:i/>
          <w:szCs w:val="18"/>
        </w:rPr>
        <w:t>studenti che non possono frequentare</w:t>
      </w:r>
      <w:r w:rsidRPr="00154CFA">
        <w:rPr>
          <w:szCs w:val="18"/>
        </w:rPr>
        <w:t xml:space="preserve"> è richiesto l’approfondimento dei testi seguenti</w:t>
      </w:r>
      <w:r w:rsidR="00154CFA">
        <w:rPr>
          <w:szCs w:val="18"/>
        </w:rPr>
        <w:t>.</w:t>
      </w:r>
    </w:p>
    <w:p w:rsidR="00154CFA" w:rsidRPr="00154CFA" w:rsidRDefault="00154CFA" w:rsidP="00DA7A62">
      <w:pPr>
        <w:pStyle w:val="Testo1"/>
        <w:spacing w:line="240" w:lineRule="atLeast"/>
        <w:rPr>
          <w:spacing w:val="-5"/>
          <w:szCs w:val="18"/>
        </w:rPr>
      </w:pPr>
      <w:r w:rsidRPr="00154CFA">
        <w:rPr>
          <w:spacing w:val="-5"/>
          <w:szCs w:val="18"/>
        </w:rPr>
        <w:t>Con riferimento alla prima parte del corso:</w:t>
      </w:r>
    </w:p>
    <w:p w:rsidR="00154CFA" w:rsidRPr="00154CFA" w:rsidRDefault="00154CFA" w:rsidP="00154CFA">
      <w:pPr>
        <w:pStyle w:val="Testo1"/>
        <w:spacing w:before="0" w:line="240" w:lineRule="atLeast"/>
        <w:ind w:left="0" w:firstLine="0"/>
        <w:rPr>
          <w:spacing w:val="-5"/>
          <w:szCs w:val="18"/>
        </w:rPr>
      </w:pPr>
      <w:r w:rsidRPr="00B736B2">
        <w:rPr>
          <w:smallCaps/>
          <w:spacing w:val="-5"/>
          <w:sz w:val="16"/>
          <w:szCs w:val="18"/>
        </w:rPr>
        <w:lastRenderedPageBreak/>
        <w:t>U. Morelli</w:t>
      </w:r>
      <w:r w:rsidRPr="00154CFA">
        <w:rPr>
          <w:smallCaps/>
          <w:spacing w:val="-5"/>
          <w:szCs w:val="18"/>
        </w:rPr>
        <w:t>,</w:t>
      </w:r>
      <w:r w:rsidRPr="00154CFA">
        <w:rPr>
          <w:i/>
          <w:spacing w:val="-5"/>
          <w:szCs w:val="18"/>
        </w:rPr>
        <w:t xml:space="preserve"> Storia dell’integrazione europea,</w:t>
      </w:r>
      <w:r w:rsidRPr="00154CFA">
        <w:rPr>
          <w:spacing w:val="-5"/>
          <w:szCs w:val="18"/>
        </w:rPr>
        <w:t xml:space="preserve"> Guerini, Milano, 2011.</w:t>
      </w:r>
      <w:r w:rsidR="00DC6C88">
        <w:rPr>
          <w:spacing w:val="-5"/>
          <w:szCs w:val="18"/>
        </w:rPr>
        <w:t xml:space="preserve"> </w:t>
      </w:r>
      <w:hyperlink r:id="rId9" w:history="1">
        <w:r w:rsidR="00DC6C88" w:rsidRPr="00DC6C88">
          <w:rPr>
            <w:rStyle w:val="Collegamentoipertestuale"/>
            <w:rFonts w:ascii="Times New Roman" w:hAnsi="Times New Roman"/>
            <w:i/>
            <w:sz w:val="16"/>
            <w:szCs w:val="16"/>
          </w:rPr>
          <w:t>Acquista da VP</w:t>
        </w:r>
      </w:hyperlink>
    </w:p>
    <w:p w:rsidR="00154CFA" w:rsidRPr="00FE5DDD" w:rsidRDefault="00FE5DDD" w:rsidP="00EC7632">
      <w:pPr>
        <w:pStyle w:val="Testo1"/>
        <w:spacing w:before="0" w:line="240" w:lineRule="atLeast"/>
        <w:rPr>
          <w:spacing w:val="-5"/>
          <w:szCs w:val="18"/>
        </w:rPr>
      </w:pPr>
      <w:r w:rsidRPr="00B736B2">
        <w:rPr>
          <w:spacing w:val="-5"/>
          <w:sz w:val="16"/>
          <w:szCs w:val="18"/>
        </w:rPr>
        <w:t xml:space="preserve">S. </w:t>
      </w:r>
      <w:r w:rsidRPr="00B736B2">
        <w:rPr>
          <w:smallCaps/>
          <w:spacing w:val="-5"/>
          <w:sz w:val="16"/>
          <w:szCs w:val="18"/>
        </w:rPr>
        <w:t>Bottoni</w:t>
      </w:r>
      <w:r>
        <w:rPr>
          <w:spacing w:val="-5"/>
          <w:szCs w:val="18"/>
        </w:rPr>
        <w:t xml:space="preserve">, </w:t>
      </w:r>
      <w:r>
        <w:rPr>
          <w:i/>
          <w:spacing w:val="-5"/>
          <w:szCs w:val="18"/>
        </w:rPr>
        <w:t>Un altro Novecento. L’Europa Orientale dal 1919 a oggi</w:t>
      </w:r>
      <w:r>
        <w:rPr>
          <w:spacing w:val="-5"/>
          <w:szCs w:val="18"/>
        </w:rPr>
        <w:t>, Carocci, 2011 (e successive edizion</w:t>
      </w:r>
      <w:r w:rsidR="00DA7A62">
        <w:rPr>
          <w:spacing w:val="-5"/>
          <w:szCs w:val="18"/>
        </w:rPr>
        <w:t>i; capitoli III-IV-V-VI-VII</w:t>
      </w:r>
      <w:r>
        <w:rPr>
          <w:spacing w:val="-5"/>
          <w:szCs w:val="18"/>
        </w:rPr>
        <w:t>)</w:t>
      </w:r>
      <w:r w:rsidR="00DC6C88">
        <w:rPr>
          <w:spacing w:val="-5"/>
          <w:szCs w:val="18"/>
        </w:rPr>
        <w:t xml:space="preserve"> </w:t>
      </w:r>
      <w:hyperlink r:id="rId10" w:history="1">
        <w:r w:rsidR="00DC6C88" w:rsidRPr="00DC6C88">
          <w:rPr>
            <w:rStyle w:val="Collegamentoipertestuale"/>
            <w:rFonts w:ascii="Times New Roman" w:hAnsi="Times New Roman"/>
            <w:i/>
            <w:sz w:val="16"/>
            <w:szCs w:val="16"/>
          </w:rPr>
          <w:t>Acquista da VP</w:t>
        </w:r>
      </w:hyperlink>
    </w:p>
    <w:p w:rsidR="00154CFA" w:rsidRPr="00154CFA" w:rsidRDefault="003B28E6" w:rsidP="00154CFA">
      <w:pPr>
        <w:pStyle w:val="Testo1"/>
        <w:spacing w:before="0" w:line="240" w:lineRule="atLeast"/>
        <w:rPr>
          <w:spacing w:val="-5"/>
          <w:szCs w:val="18"/>
        </w:rPr>
      </w:pPr>
      <w:r>
        <w:rPr>
          <w:spacing w:val="-5"/>
          <w:szCs w:val="18"/>
        </w:rPr>
        <w:t>Con riguardo</w:t>
      </w:r>
      <w:r w:rsidR="00154CFA" w:rsidRPr="00154CFA">
        <w:rPr>
          <w:spacing w:val="-5"/>
          <w:szCs w:val="18"/>
        </w:rPr>
        <w:t xml:space="preserve"> alla seconda parte: </w:t>
      </w:r>
    </w:p>
    <w:p w:rsidR="002D5CED" w:rsidRPr="00154CFA" w:rsidRDefault="002D5CED" w:rsidP="00154CFA">
      <w:pPr>
        <w:pStyle w:val="Testo1"/>
        <w:spacing w:before="0" w:line="240" w:lineRule="atLeast"/>
        <w:rPr>
          <w:spacing w:val="-5"/>
          <w:szCs w:val="18"/>
        </w:rPr>
      </w:pPr>
      <w:r w:rsidRPr="00B736B2">
        <w:rPr>
          <w:smallCaps/>
          <w:spacing w:val="-5"/>
          <w:sz w:val="16"/>
          <w:szCs w:val="18"/>
        </w:rPr>
        <w:t>N. Nugent</w:t>
      </w:r>
      <w:r w:rsidRPr="00154CFA">
        <w:rPr>
          <w:smallCaps/>
          <w:spacing w:val="-5"/>
          <w:szCs w:val="18"/>
        </w:rPr>
        <w:t>,</w:t>
      </w:r>
      <w:r w:rsidRPr="00154CFA">
        <w:rPr>
          <w:i/>
          <w:spacing w:val="-5"/>
          <w:szCs w:val="18"/>
        </w:rPr>
        <w:t xml:space="preserve"> Governo e politiche dell’Unione europea. Vol. I. Storia e teorie dell’integrazione,</w:t>
      </w:r>
      <w:r w:rsidRPr="00154CFA">
        <w:rPr>
          <w:spacing w:val="-5"/>
          <w:szCs w:val="18"/>
        </w:rPr>
        <w:t xml:space="preserve"> Il Mulino, Bologn</w:t>
      </w:r>
      <w:r w:rsidR="00FE5DDD">
        <w:rPr>
          <w:spacing w:val="-5"/>
          <w:szCs w:val="18"/>
        </w:rPr>
        <w:t>a, 2008 (e</w:t>
      </w:r>
      <w:r w:rsidR="00154CFA" w:rsidRPr="00154CFA">
        <w:rPr>
          <w:spacing w:val="-5"/>
          <w:szCs w:val="18"/>
        </w:rPr>
        <w:t xml:space="preserve"> successive edizioni)</w:t>
      </w:r>
      <w:r w:rsidRPr="00154CFA">
        <w:rPr>
          <w:spacing w:val="-5"/>
          <w:szCs w:val="18"/>
        </w:rPr>
        <w:t>.</w:t>
      </w:r>
      <w:r w:rsidR="00DC6C88">
        <w:rPr>
          <w:spacing w:val="-5"/>
          <w:szCs w:val="18"/>
        </w:rPr>
        <w:t xml:space="preserve"> </w:t>
      </w:r>
      <w:hyperlink r:id="rId11" w:history="1">
        <w:r w:rsidR="00DC6C88" w:rsidRPr="00DC6C88">
          <w:rPr>
            <w:rStyle w:val="Collegamentoipertestuale"/>
            <w:rFonts w:ascii="Times New Roman" w:hAnsi="Times New Roman"/>
            <w:i/>
            <w:sz w:val="16"/>
            <w:szCs w:val="16"/>
          </w:rPr>
          <w:t>Acquista da VP</w:t>
        </w:r>
      </w:hyperlink>
    </w:p>
    <w:p w:rsidR="00154CFA" w:rsidRPr="00154CFA" w:rsidRDefault="00154CFA" w:rsidP="00154CFA">
      <w:pPr>
        <w:pStyle w:val="Testo1"/>
        <w:spacing w:before="0" w:line="240" w:lineRule="atLeast"/>
        <w:rPr>
          <w:spacing w:val="-5"/>
          <w:szCs w:val="18"/>
        </w:rPr>
      </w:pPr>
      <w:r w:rsidRPr="00B736B2">
        <w:rPr>
          <w:smallCaps/>
          <w:spacing w:val="-5"/>
          <w:sz w:val="16"/>
          <w:szCs w:val="18"/>
        </w:rPr>
        <w:t>M. Brunazzo</w:t>
      </w:r>
      <w:r w:rsidRPr="00154CFA">
        <w:rPr>
          <w:smallCaps/>
          <w:spacing w:val="-5"/>
          <w:szCs w:val="18"/>
        </w:rPr>
        <w:t xml:space="preserve">, </w:t>
      </w:r>
      <w:r w:rsidRPr="00154CFA">
        <w:rPr>
          <w:i/>
          <w:smallCaps/>
          <w:spacing w:val="-5"/>
          <w:szCs w:val="18"/>
        </w:rPr>
        <w:t>L</w:t>
      </w:r>
      <w:r w:rsidRPr="00154CFA">
        <w:rPr>
          <w:i/>
          <w:spacing w:val="-5"/>
          <w:szCs w:val="18"/>
        </w:rPr>
        <w:t>a differenziazione integrata. L’Unione europea e le sue prospettive future</w:t>
      </w:r>
      <w:r w:rsidRPr="00154CFA">
        <w:rPr>
          <w:spacing w:val="-5"/>
          <w:szCs w:val="18"/>
        </w:rPr>
        <w:t>, Mondadori, Milano, 2017.</w:t>
      </w:r>
      <w:r w:rsidR="00DC6C88">
        <w:rPr>
          <w:spacing w:val="-5"/>
          <w:szCs w:val="18"/>
        </w:rPr>
        <w:t xml:space="preserve"> </w:t>
      </w:r>
      <w:hyperlink r:id="rId12" w:history="1">
        <w:r w:rsidR="00DC6C88" w:rsidRPr="00DC6C88">
          <w:rPr>
            <w:rStyle w:val="Collegamentoipertestuale"/>
            <w:rFonts w:ascii="Times New Roman" w:hAnsi="Times New Roman"/>
            <w:i/>
            <w:sz w:val="16"/>
            <w:szCs w:val="16"/>
          </w:rPr>
          <w:t>Acquista da VP</w:t>
        </w:r>
      </w:hyperlink>
      <w:bookmarkStart w:id="0" w:name="_GoBack"/>
      <w:bookmarkEnd w:id="0"/>
    </w:p>
    <w:p w:rsidR="002D5CED" w:rsidRPr="002D5CED" w:rsidRDefault="002D5CED" w:rsidP="002D5CED">
      <w:pPr>
        <w:spacing w:before="240" w:after="120"/>
        <w:rPr>
          <w:b/>
          <w:i/>
          <w:sz w:val="18"/>
        </w:rPr>
      </w:pPr>
      <w:r>
        <w:rPr>
          <w:b/>
          <w:i/>
          <w:sz w:val="18"/>
        </w:rPr>
        <w:t>DIDATTICA DEL CORSO</w:t>
      </w:r>
    </w:p>
    <w:p w:rsidR="002D5CED" w:rsidRPr="002D5CED" w:rsidRDefault="002D5CED" w:rsidP="002D5CED">
      <w:pPr>
        <w:pStyle w:val="Testo2"/>
      </w:pPr>
      <w:r w:rsidRPr="002D5CED">
        <w:t>Oltre alle lezioni frontali in aula, è previsto il coinvolgimento di ospiti esterni, la cui presenza verrà annunciata durante il corso.</w:t>
      </w:r>
    </w:p>
    <w:p w:rsidR="002D5CED" w:rsidRPr="002D5CED" w:rsidRDefault="002D5CED" w:rsidP="002D5CED">
      <w:pPr>
        <w:spacing w:before="240" w:after="120"/>
        <w:rPr>
          <w:b/>
          <w:i/>
          <w:sz w:val="18"/>
          <w:lang w:val="de-DE"/>
        </w:rPr>
      </w:pPr>
      <w:r>
        <w:rPr>
          <w:b/>
          <w:i/>
          <w:sz w:val="18"/>
          <w:lang w:val="de-DE"/>
        </w:rPr>
        <w:t>METODO E CRITERI DI VALUTAZIONE</w:t>
      </w:r>
    </w:p>
    <w:p w:rsidR="002D5CED" w:rsidRPr="003D7559" w:rsidRDefault="002857D8" w:rsidP="003D7559">
      <w:pPr>
        <w:pStyle w:val="Testo2"/>
      </w:pPr>
      <w:r>
        <w:t>Salvo casi particolari e condizioni emergenziali, a</w:t>
      </w:r>
      <w:r w:rsidR="002D5CED" w:rsidRPr="003D7559">
        <w:t xml:space="preserve">lla fine del primo e del secondo semestre, sono previste due prove parziali in cui si valuteranno i risultati di apprendimento sulla base degli argomenti approfonditi a lezione. </w:t>
      </w:r>
      <w:r w:rsidR="002210C3">
        <w:t>In condi</w:t>
      </w:r>
      <w:r w:rsidR="00E6071F">
        <w:t>zioni di normale svolgimento dell’attività accademica l</w:t>
      </w:r>
      <w:r w:rsidR="002D5CED" w:rsidRPr="003D7559">
        <w:t>’esame conclusivo si svolge in forma orale</w:t>
      </w:r>
      <w:r w:rsidR="00771DE7">
        <w:t>,</w:t>
      </w:r>
      <w:r w:rsidR="002D5CED" w:rsidRPr="003D7559">
        <w:t xml:space="preserve"> secondo i </w:t>
      </w:r>
      <w:r w:rsidR="003D7559">
        <w:t>seguenti criteri di valutazione:</w:t>
      </w:r>
    </w:p>
    <w:p w:rsidR="002D5CED" w:rsidRPr="003D7559" w:rsidRDefault="002D5CED" w:rsidP="003D7559">
      <w:pPr>
        <w:pStyle w:val="Testo2"/>
      </w:pPr>
      <w:r w:rsidRPr="003D7559">
        <w:rPr>
          <w:i/>
        </w:rPr>
        <w:t>Apprendimento</w:t>
      </w:r>
      <w:r w:rsidRPr="003D7559">
        <w:t xml:space="preserve"> dei dati storici (date, nomi, cariche, articoli di trattati).</w:t>
      </w:r>
    </w:p>
    <w:p w:rsidR="002D5CED" w:rsidRPr="003D7559" w:rsidRDefault="002D5CED" w:rsidP="003D7559">
      <w:pPr>
        <w:pStyle w:val="Testo2"/>
      </w:pPr>
      <w:r w:rsidRPr="003D7559">
        <w:rPr>
          <w:i/>
        </w:rPr>
        <w:t>Conoscenza</w:t>
      </w:r>
      <w:r w:rsidRPr="003D7559">
        <w:t xml:space="preserve"> delle istituzioni europee, loro attribuzioni e funzionamento delle politiche europee.</w:t>
      </w:r>
    </w:p>
    <w:p w:rsidR="002D5CED" w:rsidRPr="003D7559" w:rsidRDefault="002D5CED" w:rsidP="003D7559">
      <w:pPr>
        <w:pStyle w:val="Testo2"/>
        <w:rPr>
          <w:rFonts w:eastAsia="Helvetica Neue"/>
        </w:rPr>
      </w:pPr>
      <w:r w:rsidRPr="003D7559">
        <w:rPr>
          <w:i/>
        </w:rPr>
        <w:t xml:space="preserve">Capacità </w:t>
      </w:r>
      <w:r w:rsidRPr="003D7559">
        <w:t>di esporre e inquadrare compiutamente i principali temi affrontati durante le lezioni.</w:t>
      </w:r>
    </w:p>
    <w:p w:rsidR="002D5CED" w:rsidRPr="002D5CED" w:rsidRDefault="002D5CED" w:rsidP="002D5CED">
      <w:pPr>
        <w:spacing w:before="240" w:after="120" w:line="240" w:lineRule="exact"/>
        <w:rPr>
          <w:b/>
          <w:i/>
          <w:sz w:val="18"/>
          <w:lang w:val="de-DE"/>
        </w:rPr>
      </w:pPr>
      <w:r>
        <w:rPr>
          <w:b/>
          <w:i/>
          <w:sz w:val="18"/>
          <w:lang w:val="de-DE"/>
        </w:rPr>
        <w:t>AVVERTENZE E PREREQUISITI</w:t>
      </w:r>
    </w:p>
    <w:p w:rsidR="00865E9D" w:rsidRDefault="002D5CED" w:rsidP="00865E9D">
      <w:pPr>
        <w:pStyle w:val="Testo2"/>
        <w:rPr>
          <w:color w:val="000000" w:themeColor="text1"/>
          <w:szCs w:val="18"/>
        </w:rPr>
      </w:pPr>
      <w:r>
        <w:t>Il corso presuppone la conoscenza di alcune nozioni di base sia dal punto di vista storico, sia sotto il profilo dei modelli di analisi della scienza politica. In particolare, sono richieste le basilari nozioni di storia contemporanea, tra cui la conoscenza delle principali tappe del processo di integrazione europea. Sotto il profilo dell’analisi politologica è richiesta inoltre la conoscenza di elementi di scienza politica e di analisi delle politiche pubbliche.</w:t>
      </w:r>
      <w:r w:rsidR="00865E9D" w:rsidRPr="00865E9D">
        <w:rPr>
          <w:color w:val="000000" w:themeColor="text1"/>
          <w:szCs w:val="18"/>
        </w:rPr>
        <w:t xml:space="preserve"> </w:t>
      </w:r>
    </w:p>
    <w:p w:rsidR="007033F7" w:rsidRDefault="007033F7" w:rsidP="002D5CED">
      <w:pPr>
        <w:pStyle w:val="Testo2"/>
        <w:spacing w:before="120"/>
        <w:rPr>
          <w:i/>
          <w:iCs/>
        </w:rPr>
      </w:pPr>
      <w:r>
        <w:t>Nel caso in cui la situazione sanitaria relativa alla pandemia di Covid-19 non dovesse consentire la didattica in presenza, sarà garantita l’erogazione a distanza dell’insegnamento con modalità che verranno comunicate in tempo utile agli studenti.</w:t>
      </w:r>
    </w:p>
    <w:p w:rsidR="002D5CED" w:rsidRDefault="002D5CED" w:rsidP="002D5CED">
      <w:pPr>
        <w:pStyle w:val="Testo2"/>
        <w:spacing w:before="120"/>
        <w:rPr>
          <w:i/>
          <w:iCs/>
        </w:rPr>
      </w:pPr>
      <w:r>
        <w:rPr>
          <w:i/>
          <w:iCs/>
        </w:rPr>
        <w:t>Orario e luogo di ricevimento</w:t>
      </w:r>
    </w:p>
    <w:p w:rsidR="002D5CED" w:rsidRPr="002D5CED" w:rsidRDefault="002D5CED" w:rsidP="002D5CED">
      <w:pPr>
        <w:pStyle w:val="Testo2"/>
      </w:pPr>
      <w:r>
        <w:t xml:space="preserve">I </w:t>
      </w:r>
      <w:r w:rsidR="009568E6">
        <w:t>P</w:t>
      </w:r>
      <w:r>
        <w:t xml:space="preserve">rof. </w:t>
      </w:r>
      <w:r w:rsidR="00825343">
        <w:t xml:space="preserve">Davide Borsani </w:t>
      </w:r>
      <w:r>
        <w:t>e Silvio Cotellessa ricevono gli studenti presso il Dipartimento di Scienze Politiche. L’orario verrà comunicato all’inizio dell’anno accademico nella pagina web docenti.</w:t>
      </w:r>
    </w:p>
    <w:sectPr w:rsidR="002D5CED" w:rsidRPr="002D5C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88" w:rsidRDefault="00DC6C88" w:rsidP="00DC6C88">
      <w:pPr>
        <w:spacing w:line="240" w:lineRule="auto"/>
      </w:pPr>
      <w:r>
        <w:separator/>
      </w:r>
    </w:p>
  </w:endnote>
  <w:endnote w:type="continuationSeparator" w:id="0">
    <w:p w:rsidR="00DC6C88" w:rsidRDefault="00DC6C88" w:rsidP="00DC6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88" w:rsidRDefault="00DC6C88" w:rsidP="00DC6C88">
      <w:pPr>
        <w:spacing w:line="240" w:lineRule="auto"/>
      </w:pPr>
      <w:r>
        <w:separator/>
      </w:r>
    </w:p>
  </w:footnote>
  <w:footnote w:type="continuationSeparator" w:id="0">
    <w:p w:rsidR="00DC6C88" w:rsidRDefault="00DC6C88" w:rsidP="00DC6C88">
      <w:pPr>
        <w:spacing w:line="240" w:lineRule="auto"/>
      </w:pPr>
      <w:r>
        <w:continuationSeparator/>
      </w:r>
    </w:p>
  </w:footnote>
  <w:footnote w:id="1">
    <w:p w:rsidR="00DC6C88" w:rsidRDefault="00DC6C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214F4"/>
    <w:multiLevelType w:val="hybridMultilevel"/>
    <w:tmpl w:val="5378B710"/>
    <w:lvl w:ilvl="0" w:tplc="EF9A78A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ED"/>
    <w:rsid w:val="00125983"/>
    <w:rsid w:val="00154CFA"/>
    <w:rsid w:val="00165455"/>
    <w:rsid w:val="00187B99"/>
    <w:rsid w:val="002014DD"/>
    <w:rsid w:val="002210C3"/>
    <w:rsid w:val="002857D8"/>
    <w:rsid w:val="002D5CED"/>
    <w:rsid w:val="002D5E17"/>
    <w:rsid w:val="003B28E6"/>
    <w:rsid w:val="003D7559"/>
    <w:rsid w:val="004D1217"/>
    <w:rsid w:val="004D6008"/>
    <w:rsid w:val="00640794"/>
    <w:rsid w:val="006F1772"/>
    <w:rsid w:val="007033F7"/>
    <w:rsid w:val="007069B6"/>
    <w:rsid w:val="00712D79"/>
    <w:rsid w:val="00771DE7"/>
    <w:rsid w:val="00825343"/>
    <w:rsid w:val="00865E9D"/>
    <w:rsid w:val="00873017"/>
    <w:rsid w:val="008942E7"/>
    <w:rsid w:val="008A1204"/>
    <w:rsid w:val="00900CCA"/>
    <w:rsid w:val="00924B77"/>
    <w:rsid w:val="00940DA2"/>
    <w:rsid w:val="009568E6"/>
    <w:rsid w:val="009C0D49"/>
    <w:rsid w:val="009E055C"/>
    <w:rsid w:val="00A34602"/>
    <w:rsid w:val="00A40E70"/>
    <w:rsid w:val="00A44212"/>
    <w:rsid w:val="00A74F6F"/>
    <w:rsid w:val="00AD7557"/>
    <w:rsid w:val="00B17165"/>
    <w:rsid w:val="00B50C5D"/>
    <w:rsid w:val="00B51253"/>
    <w:rsid w:val="00B525CC"/>
    <w:rsid w:val="00B736B2"/>
    <w:rsid w:val="00BD1D08"/>
    <w:rsid w:val="00C407AA"/>
    <w:rsid w:val="00D404F2"/>
    <w:rsid w:val="00DA7A62"/>
    <w:rsid w:val="00DC6C88"/>
    <w:rsid w:val="00E36225"/>
    <w:rsid w:val="00E6071F"/>
    <w:rsid w:val="00E607E6"/>
    <w:rsid w:val="00EC7632"/>
    <w:rsid w:val="00F61929"/>
    <w:rsid w:val="00F808E5"/>
    <w:rsid w:val="00FE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Paragrafoelenco">
    <w:name w:val="List Paragraph"/>
    <w:basedOn w:val="Normale"/>
    <w:uiPriority w:val="34"/>
    <w:qFormat/>
    <w:rsid w:val="00154CFA"/>
    <w:pPr>
      <w:ind w:left="720"/>
      <w:contextualSpacing/>
    </w:pPr>
  </w:style>
  <w:style w:type="paragraph" w:styleId="Testonotaapidipagina">
    <w:name w:val="footnote text"/>
    <w:basedOn w:val="Normale"/>
    <w:link w:val="TestonotaapidipaginaCarattere"/>
    <w:rsid w:val="00DC6C88"/>
    <w:pPr>
      <w:spacing w:line="240" w:lineRule="auto"/>
    </w:pPr>
    <w:rPr>
      <w:szCs w:val="20"/>
    </w:rPr>
  </w:style>
  <w:style w:type="character" w:customStyle="1" w:styleId="TestonotaapidipaginaCarattere">
    <w:name w:val="Testo nota a piè di pagina Carattere"/>
    <w:basedOn w:val="Carpredefinitoparagrafo"/>
    <w:link w:val="Testonotaapidipagina"/>
    <w:rsid w:val="00DC6C88"/>
  </w:style>
  <w:style w:type="character" w:styleId="Rimandonotaapidipagina">
    <w:name w:val="footnote reference"/>
    <w:basedOn w:val="Carpredefinitoparagrafo"/>
    <w:rsid w:val="00DC6C88"/>
    <w:rPr>
      <w:vertAlign w:val="superscript"/>
    </w:rPr>
  </w:style>
  <w:style w:type="character" w:styleId="Collegamentoipertestuale">
    <w:name w:val="Hyperlink"/>
    <w:basedOn w:val="Carpredefinitoparagrafo"/>
    <w:rsid w:val="00DC6C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Paragrafoelenco">
    <w:name w:val="List Paragraph"/>
    <w:basedOn w:val="Normale"/>
    <w:uiPriority w:val="34"/>
    <w:qFormat/>
    <w:rsid w:val="00154CFA"/>
    <w:pPr>
      <w:ind w:left="720"/>
      <w:contextualSpacing/>
    </w:pPr>
  </w:style>
  <w:style w:type="paragraph" w:styleId="Testonotaapidipagina">
    <w:name w:val="footnote text"/>
    <w:basedOn w:val="Normale"/>
    <w:link w:val="TestonotaapidipaginaCarattere"/>
    <w:rsid w:val="00DC6C88"/>
    <w:pPr>
      <w:spacing w:line="240" w:lineRule="auto"/>
    </w:pPr>
    <w:rPr>
      <w:szCs w:val="20"/>
    </w:rPr>
  </w:style>
  <w:style w:type="character" w:customStyle="1" w:styleId="TestonotaapidipaginaCarattere">
    <w:name w:val="Testo nota a piè di pagina Carattere"/>
    <w:basedOn w:val="Carpredefinitoparagrafo"/>
    <w:link w:val="Testonotaapidipagina"/>
    <w:rsid w:val="00DC6C88"/>
  </w:style>
  <w:style w:type="character" w:styleId="Rimandonotaapidipagina">
    <w:name w:val="footnote reference"/>
    <w:basedOn w:val="Carpredefinitoparagrafo"/>
    <w:rsid w:val="00DC6C88"/>
    <w:rPr>
      <w:vertAlign w:val="superscript"/>
    </w:rPr>
  </w:style>
  <w:style w:type="character" w:styleId="Collegamentoipertestuale">
    <w:name w:val="Hyperlink"/>
    <w:basedOn w:val="Carpredefinitoparagrafo"/>
    <w:rsid w:val="00DC6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co-brunazzo/la-differenziazione-integrata-lunione-europea-e-le-sue-prospettive-future-9788861846142-68398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eill-nugent/governo-e-politiche-dellunione-europea-9788815125828-222718.html" TargetMode="External"/><Relationship Id="rId5" Type="http://schemas.openxmlformats.org/officeDocument/2006/relationships/settings" Target="settings.xml"/><Relationship Id="rId10" Type="http://schemas.openxmlformats.org/officeDocument/2006/relationships/hyperlink" Target="https://librerie.unicatt.it/scheda-libro/stefano-bottoni/un-altro-novecento-leuropa-orientale-dal-1919-a-oggi-9788829005376-694465.html" TargetMode="External"/><Relationship Id="rId4" Type="http://schemas.microsoft.com/office/2007/relationships/stylesWithEffects" Target="stylesWithEffects.xml"/><Relationship Id="rId9" Type="http://schemas.openxmlformats.org/officeDocument/2006/relationships/hyperlink" Target="https://librerie.unicatt.it/scheda-libro/umberto-morelli/storia-dellintegrazione-europea-9788881073122-256864.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6612-10CE-4FAE-BB88-A8C2ED45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2022-05-17T08:40:00Z</dcterms:created>
  <dcterms:modified xsi:type="dcterms:W3CDTF">2022-07-20T09:03:00Z</dcterms:modified>
</cp:coreProperties>
</file>