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438A" w14:textId="77777777" w:rsidR="00375DA2" w:rsidRPr="00475047" w:rsidRDefault="00375DA2" w:rsidP="00375DA2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 w:rsidRPr="00475047">
        <w:rPr>
          <w:rFonts w:ascii="Times" w:hAnsi="Times"/>
          <w:b/>
          <w:noProof/>
          <w:szCs w:val="20"/>
        </w:rPr>
        <w:t>Giustizia riparativa e modelli di risposta ai conflitti</w:t>
      </w:r>
    </w:p>
    <w:p w14:paraId="0C81D4C9" w14:textId="77777777" w:rsidR="00375DA2" w:rsidRPr="00475047" w:rsidRDefault="00375DA2" w:rsidP="00375DA2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475047">
        <w:rPr>
          <w:rFonts w:ascii="Times" w:hAnsi="Times"/>
          <w:smallCaps/>
          <w:noProof/>
          <w:sz w:val="18"/>
          <w:szCs w:val="20"/>
        </w:rPr>
        <w:t>Prof. Claudia Mazzucato</w:t>
      </w:r>
    </w:p>
    <w:p w14:paraId="72DA60BC" w14:textId="17D0B80A" w:rsidR="00FA304F" w:rsidRDefault="00FA304F" w:rsidP="00FA304F">
      <w:pPr>
        <w:spacing w:before="120"/>
        <w:rPr>
          <w:sz w:val="18"/>
        </w:rPr>
      </w:pPr>
      <w:bookmarkStart w:id="0" w:name="_Hlk105743561"/>
      <w:r w:rsidRPr="00E738F3">
        <w:rPr>
          <w:sz w:val="18"/>
        </w:rPr>
        <w:t>[</w:t>
      </w:r>
      <w:r>
        <w:rPr>
          <w:sz w:val="18"/>
        </w:rPr>
        <w:t>L’</w:t>
      </w:r>
      <w:r w:rsidRPr="00E738F3">
        <w:rPr>
          <w:sz w:val="18"/>
        </w:rPr>
        <w:t>insegnamento viene mutuato dal</w:t>
      </w:r>
      <w:r>
        <w:rPr>
          <w:sz w:val="18"/>
        </w:rPr>
        <w:t>la Facoltà di GIURISPRUDENZA</w:t>
      </w:r>
      <w:r>
        <w:rPr>
          <w:sz w:val="18"/>
        </w:rPr>
        <w:t xml:space="preserve"> </w:t>
      </w:r>
      <w:r w:rsidRPr="00E738F3">
        <w:rPr>
          <w:sz w:val="18"/>
        </w:rPr>
        <w:t>con la denominazione “</w:t>
      </w:r>
      <w:r w:rsidRPr="00FA304F">
        <w:rPr>
          <w:i/>
          <w:iCs/>
          <w:sz w:val="18"/>
        </w:rPr>
        <w:t>Giustizia riparativa</w:t>
      </w:r>
      <w:r w:rsidRPr="00E738F3">
        <w:rPr>
          <w:sz w:val="18"/>
        </w:rPr>
        <w:t>”]</w:t>
      </w:r>
    </w:p>
    <w:bookmarkEnd w:id="0"/>
    <w:p w14:paraId="6BCCD9B7" w14:textId="77777777" w:rsidR="002D5E17" w:rsidRDefault="00375DA2" w:rsidP="00375DA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C93240" w14:textId="77777777" w:rsidR="00375DA2" w:rsidRDefault="00375DA2" w:rsidP="00375DA2">
      <w:pPr>
        <w:tabs>
          <w:tab w:val="clear" w:pos="284"/>
        </w:tabs>
        <w:rPr>
          <w:rFonts w:eastAsia="MS Mincho"/>
        </w:rPr>
      </w:pPr>
      <w:r w:rsidRPr="00475047">
        <w:rPr>
          <w:rFonts w:eastAsia="MS Mincho"/>
        </w:rPr>
        <w:t>Il corso intende avvicinare gli studenti alla giustizia riparativa grazie allo studio dei profili teorici (prevalentemente</w:t>
      </w:r>
      <w:r>
        <w:rPr>
          <w:rFonts w:eastAsia="MS Mincho"/>
        </w:rPr>
        <w:t xml:space="preserve"> di taglio</w:t>
      </w:r>
      <w:r w:rsidRPr="00475047">
        <w:rPr>
          <w:rFonts w:eastAsia="MS Mincho"/>
        </w:rPr>
        <w:t xml:space="preserve"> filosofic</w:t>
      </w:r>
      <w:r>
        <w:rPr>
          <w:rFonts w:eastAsia="MS Mincho"/>
        </w:rPr>
        <w:t xml:space="preserve">o, </w:t>
      </w:r>
      <w:r w:rsidRPr="00475047">
        <w:rPr>
          <w:rFonts w:eastAsia="MS Mincho"/>
        </w:rPr>
        <w:t>giuridic</w:t>
      </w:r>
      <w:r>
        <w:rPr>
          <w:rFonts w:eastAsia="MS Mincho"/>
        </w:rPr>
        <w:t>o e sociale</w:t>
      </w:r>
      <w:r w:rsidRPr="00475047">
        <w:rPr>
          <w:rFonts w:eastAsia="MS Mincho"/>
        </w:rPr>
        <w:t xml:space="preserve">), metodologici e pratici rilevanti e dei diversi contesti applicativi nazionali e internazionali. La </w:t>
      </w:r>
      <w:r w:rsidRPr="00475047">
        <w:rPr>
          <w:rFonts w:eastAsia="MS Mincho"/>
          <w:i/>
        </w:rPr>
        <w:t xml:space="preserve">restorative justice </w:t>
      </w:r>
      <w:r w:rsidRPr="00475047">
        <w:rPr>
          <w:rFonts w:eastAsia="MS Mincho"/>
        </w:rPr>
        <w:t xml:space="preserve">viene affrontata in relazione alle questioni e ai problemi di fondo che questo modello di giustizia “dialogico” </w:t>
      </w:r>
      <w:r>
        <w:rPr>
          <w:rFonts w:eastAsia="MS Mincho"/>
        </w:rPr>
        <w:t>mira</w:t>
      </w:r>
      <w:r w:rsidRPr="00475047">
        <w:rPr>
          <w:rFonts w:eastAsia="MS Mincho"/>
        </w:rPr>
        <w:t xml:space="preserve"> ad affrontare in modo innovativo: il conflitto e la violenza, da un lato, l’aspirazione alla giustizia e alla pace, dell’altro. Nella “parte speciale” del corso, le lezioni proporranno alcuni esempi significativi afferenti a diversi ambiti e tratti dall’esperienza internazionale e nazionale. L’insegnamento desidera infine proporre agli studenti di sperimentare direttamente il metodo riparativo grazie ad alcuni esercizi pratici, fra cui la simulazione di un programma di giustizia riparativa in ambito penale. A tal fine, gli studenti interessati potranno liberamente prendere parte alle esercitazioni che corredano, e completano, l’insegnamento.</w:t>
      </w:r>
    </w:p>
    <w:p w14:paraId="3D9982F6" w14:textId="77777777" w:rsidR="00375DA2" w:rsidRDefault="00375DA2" w:rsidP="00DF2F34">
      <w:pPr>
        <w:spacing w:before="120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Al termine dell’insegnamento, gli studenti saranno in grado di:</w:t>
      </w:r>
    </w:p>
    <w:p w14:paraId="4541FCAC" w14:textId="77777777" w:rsidR="00375DA2" w:rsidRPr="007E5B84" w:rsidRDefault="00375DA2" w:rsidP="00375DA2">
      <w:pPr>
        <w:rPr>
          <w:rFonts w:ascii="Times" w:hAnsi="Times" w:cs="Times"/>
          <w:i/>
          <w:szCs w:val="20"/>
        </w:rPr>
      </w:pPr>
      <w:r>
        <w:rPr>
          <w:rFonts w:ascii="Times" w:hAnsi="Times" w:cs="Times"/>
          <w:szCs w:val="20"/>
        </w:rPr>
        <w:t>a)</w:t>
      </w:r>
      <w:r w:rsidR="00DF2F34">
        <w:rPr>
          <w:rFonts w:ascii="Times" w:hAnsi="Times" w:cs="Times"/>
          <w:szCs w:val="20"/>
        </w:rPr>
        <w:tab/>
      </w:r>
      <w:r>
        <w:rPr>
          <w:rFonts w:ascii="Times" w:hAnsi="Times" w:cs="Times"/>
          <w:i/>
          <w:szCs w:val="20"/>
        </w:rPr>
        <w:t>conoscenza e comprensione</w:t>
      </w:r>
    </w:p>
    <w:p w14:paraId="0F871C24" w14:textId="77777777"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discernere i diversi modelli di risoluzione dei conflitti alla luce, in particolare, della dialettica tra forza e consenso, tra coercizione e conformità alla norma;</w:t>
      </w:r>
    </w:p>
    <w:p w14:paraId="4D4F59C2" w14:textId="77777777"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conoscere, descrivere e commentare criticamente principi, valori e finalità della giustizia riparativa come disciplinati nelle fonti internazionali ed europee;</w:t>
      </w:r>
    </w:p>
    <w:p w14:paraId="783348A8" w14:textId="77777777"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 xml:space="preserve">conoscere, descrivere e commentare i principali programmi di giustizia riparativa e relativi ambiti di applicazione; </w:t>
      </w:r>
    </w:p>
    <w:p w14:paraId="6277456C" w14:textId="77777777"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presentare e commentare gli esempi di pratiche riparative presentati nel programma e affrontati nel corso delle lezioni;</w:t>
      </w:r>
    </w:p>
    <w:p w14:paraId="14AF2BC2" w14:textId="77777777" w:rsidR="00375DA2" w:rsidRPr="007E5B84" w:rsidRDefault="00375DA2" w:rsidP="00375DA2">
      <w:pPr>
        <w:pStyle w:val="Paragrafoelenco"/>
        <w:ind w:left="0"/>
        <w:rPr>
          <w:rFonts w:ascii="Times" w:hAnsi="Times" w:cs="Times"/>
          <w:szCs w:val="20"/>
        </w:rPr>
      </w:pPr>
      <w:r w:rsidRPr="00DF2F34">
        <w:rPr>
          <w:szCs w:val="20"/>
        </w:rPr>
        <w:t>b</w:t>
      </w:r>
      <w:r w:rsidR="00DF2F34" w:rsidRPr="00DF2F34">
        <w:rPr>
          <w:szCs w:val="20"/>
        </w:rPr>
        <w:t>)</w:t>
      </w:r>
      <w:r w:rsidR="00DF2F34" w:rsidRPr="00DF2F34">
        <w:rPr>
          <w:szCs w:val="20"/>
        </w:rPr>
        <w:tab/>
      </w:r>
      <w:r>
        <w:rPr>
          <w:i/>
          <w:szCs w:val="20"/>
        </w:rPr>
        <w:t>c</w:t>
      </w:r>
      <w:r w:rsidRPr="007E5B84">
        <w:rPr>
          <w:i/>
          <w:szCs w:val="20"/>
        </w:rPr>
        <w:t>apacità di applicare conoscenza e comprensione</w:t>
      </w:r>
    </w:p>
    <w:p w14:paraId="1F2E7E0E" w14:textId="77777777"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padroneggiare con sicurezza le fonti internazionali ed europee in tema di giustizia riparativa;</w:t>
      </w:r>
    </w:p>
    <w:p w14:paraId="55A6AAFD" w14:textId="77777777"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descrivere e commentare i temi trattati con proprietà di linguaggio tecnico;</w:t>
      </w:r>
    </w:p>
    <w:p w14:paraId="75FA85D2" w14:textId="77777777"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 xml:space="preserve">presentare e proporre adeguate riflessioni critiche in ordine alle principali questioni filosofiche, giuridiche e sociali poste dai conflitti e dai modi del loro superamento; </w:t>
      </w:r>
    </w:p>
    <w:p w14:paraId="26ECC84B" w14:textId="77777777" w:rsidR="00375DA2" w:rsidRPr="00DF2F34" w:rsidRDefault="00DF2F34" w:rsidP="00DF2F34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lastRenderedPageBreak/>
        <w:t>–</w:t>
      </w:r>
      <w:r>
        <w:rPr>
          <w:rFonts w:ascii="Times" w:hAnsi="Times" w:cs="Times"/>
          <w:szCs w:val="20"/>
        </w:rPr>
        <w:tab/>
      </w:r>
      <w:r w:rsidR="00375DA2" w:rsidRPr="00DF2F34">
        <w:rPr>
          <w:rFonts w:ascii="Times" w:hAnsi="Times" w:cs="Times"/>
          <w:szCs w:val="20"/>
        </w:rPr>
        <w:t>operare gli opportuni collegamenti interdisciplinari con le materie di indirizzo dei rispettivi corsi di studio.</w:t>
      </w:r>
    </w:p>
    <w:p w14:paraId="64CCBA96" w14:textId="77777777" w:rsidR="00375DA2" w:rsidRDefault="00375DA2" w:rsidP="00375DA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D1F086D" w14:textId="77777777" w:rsidR="00375DA2" w:rsidRPr="00475047" w:rsidRDefault="00375DA2" w:rsidP="00375DA2">
      <w:pPr>
        <w:tabs>
          <w:tab w:val="clear" w:pos="284"/>
        </w:tabs>
        <w:rPr>
          <w:rFonts w:eastAsia="MS Mincho"/>
          <w:smallCaps/>
          <w:sz w:val="18"/>
        </w:rPr>
      </w:pPr>
      <w:r w:rsidRPr="00475047">
        <w:rPr>
          <w:rFonts w:eastAsia="MS Mincho"/>
          <w:smallCaps/>
          <w:sz w:val="18"/>
        </w:rPr>
        <w:t>Parte generale: uno sguardo d’insieme.</w:t>
      </w:r>
    </w:p>
    <w:p w14:paraId="4A9301B5" w14:textId="77777777"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line="240" w:lineRule="auto"/>
        <w:ind w:hanging="284"/>
        <w:contextualSpacing/>
        <w:rPr>
          <w:i/>
          <w:szCs w:val="20"/>
        </w:rPr>
      </w:pPr>
      <w:r w:rsidRPr="00475047">
        <w:rPr>
          <w:i/>
          <w:szCs w:val="20"/>
        </w:rPr>
        <w:t>Conflitti, violenza, guerra. Giustizia e pace. Uno sguardo filosofico-giuridico</w:t>
      </w:r>
      <w:r>
        <w:rPr>
          <w:i/>
          <w:szCs w:val="20"/>
        </w:rPr>
        <w:t xml:space="preserve"> d’insieme</w:t>
      </w:r>
    </w:p>
    <w:p w14:paraId="04B55ADE" w14:textId="77777777" w:rsidR="00375DA2" w:rsidRPr="00475047" w:rsidRDefault="00375DA2" w:rsidP="00375DA2">
      <w:pPr>
        <w:tabs>
          <w:tab w:val="clear" w:pos="284"/>
        </w:tabs>
        <w:spacing w:line="240" w:lineRule="auto"/>
        <w:rPr>
          <w:szCs w:val="20"/>
        </w:rPr>
      </w:pPr>
      <w:r w:rsidRPr="00475047">
        <w:rPr>
          <w:szCs w:val="20"/>
        </w:rPr>
        <w:t>Il problema dell’“altro”. Amico-nemico. Vendetta. Violenza. Guerra. Diritto, giustizia e violenza. Verità, memoria, oblio, perdono.</w:t>
      </w:r>
    </w:p>
    <w:p w14:paraId="3C6BAF85" w14:textId="77777777"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i/>
          <w:szCs w:val="20"/>
        </w:rPr>
      </w:pPr>
      <w:r w:rsidRPr="00475047">
        <w:rPr>
          <w:i/>
          <w:szCs w:val="20"/>
        </w:rPr>
        <w:t>Modelli di risoluzione dei conflitti</w:t>
      </w:r>
    </w:p>
    <w:p w14:paraId="0A3955FD" w14:textId="77777777" w:rsidR="00375DA2" w:rsidRPr="00475047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475047">
        <w:rPr>
          <w:szCs w:val="20"/>
        </w:rPr>
        <w:t>Modelli giudiziali-contenziosi. Modelli negoziali</w:t>
      </w:r>
      <w:r>
        <w:rPr>
          <w:szCs w:val="20"/>
        </w:rPr>
        <w:t>-transattivi</w:t>
      </w:r>
      <w:r w:rsidRPr="00475047">
        <w:rPr>
          <w:szCs w:val="20"/>
        </w:rPr>
        <w:t>. Modelli riparativi. Dimensioni antropologico-filosofiche e multiculturali delle pratiche di risoluzione dei conflitti.</w:t>
      </w:r>
      <w:r>
        <w:rPr>
          <w:szCs w:val="20"/>
        </w:rPr>
        <w:t xml:space="preserve"> Immagini della giustizia.</w:t>
      </w:r>
    </w:p>
    <w:p w14:paraId="54A48820" w14:textId="77777777"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szCs w:val="20"/>
        </w:rPr>
      </w:pPr>
      <w:r w:rsidRPr="00475047">
        <w:rPr>
          <w:i/>
          <w:szCs w:val="20"/>
        </w:rPr>
        <w:t>La giustizia riparativa</w:t>
      </w:r>
    </w:p>
    <w:p w14:paraId="47071CD3" w14:textId="23EA474F" w:rsidR="00375DA2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475047">
        <w:rPr>
          <w:szCs w:val="20"/>
        </w:rPr>
        <w:t>Cenni storici. Fonti normative internazionali</w:t>
      </w:r>
      <w:r w:rsidR="00322FC5">
        <w:rPr>
          <w:szCs w:val="20"/>
        </w:rPr>
        <w:t>,</w:t>
      </w:r>
      <w:r>
        <w:rPr>
          <w:szCs w:val="20"/>
        </w:rPr>
        <w:t xml:space="preserve"> europee</w:t>
      </w:r>
      <w:r w:rsidR="00322FC5">
        <w:rPr>
          <w:szCs w:val="20"/>
        </w:rPr>
        <w:t xml:space="preserve"> e nazionali.</w:t>
      </w:r>
      <w:r w:rsidRPr="00475047">
        <w:rPr>
          <w:szCs w:val="20"/>
        </w:rPr>
        <w:t xml:space="preserve"> Principi. Tipologie di programmi (mediazione, </w:t>
      </w:r>
      <w:r w:rsidRPr="00475047">
        <w:rPr>
          <w:i/>
          <w:szCs w:val="20"/>
        </w:rPr>
        <w:t>conferences</w:t>
      </w:r>
      <w:r w:rsidRPr="00475047">
        <w:rPr>
          <w:szCs w:val="20"/>
        </w:rPr>
        <w:t xml:space="preserve">, </w:t>
      </w:r>
      <w:r w:rsidRPr="00475047">
        <w:rPr>
          <w:i/>
          <w:szCs w:val="20"/>
        </w:rPr>
        <w:t>circles</w:t>
      </w:r>
      <w:r w:rsidRPr="00475047">
        <w:rPr>
          <w:szCs w:val="20"/>
        </w:rPr>
        <w:t>, altri programmi). Ambiti di applicazione. Giustizia riparativa e tutela della vittima</w:t>
      </w:r>
      <w:r>
        <w:rPr>
          <w:szCs w:val="20"/>
        </w:rPr>
        <w:t xml:space="preserve"> di reato</w:t>
      </w:r>
      <w:r w:rsidRPr="00475047">
        <w:rPr>
          <w:szCs w:val="20"/>
        </w:rPr>
        <w:t>. Giustizia riparativa e responsabilizzazione del</w:t>
      </w:r>
      <w:r>
        <w:rPr>
          <w:szCs w:val="20"/>
        </w:rPr>
        <w:t>l’autore di reato</w:t>
      </w:r>
      <w:r w:rsidRPr="00475047">
        <w:rPr>
          <w:szCs w:val="20"/>
        </w:rPr>
        <w:t xml:space="preserve">. Sfide, rischi, potenzialità. </w:t>
      </w:r>
      <w:r w:rsidRPr="00475047">
        <w:rPr>
          <w:i/>
          <w:szCs w:val="20"/>
        </w:rPr>
        <w:t>Responsive regulation</w:t>
      </w:r>
      <w:r w:rsidRPr="00475047">
        <w:rPr>
          <w:szCs w:val="20"/>
        </w:rPr>
        <w:t xml:space="preserve"> e giustizia riparativa. La </w:t>
      </w:r>
      <w:r w:rsidRPr="00475047">
        <w:rPr>
          <w:i/>
          <w:szCs w:val="20"/>
        </w:rPr>
        <w:t>restorative justice</w:t>
      </w:r>
      <w:r w:rsidRPr="00475047">
        <w:rPr>
          <w:szCs w:val="20"/>
        </w:rPr>
        <w:t xml:space="preserve"> come giustizia “narrativa”.</w:t>
      </w:r>
    </w:p>
    <w:p w14:paraId="76E9A563" w14:textId="77777777" w:rsidR="00375DA2" w:rsidRPr="00475047" w:rsidRDefault="00375DA2" w:rsidP="00375DA2">
      <w:pPr>
        <w:numPr>
          <w:ilvl w:val="0"/>
          <w:numId w:val="4"/>
        </w:numPr>
        <w:tabs>
          <w:tab w:val="clear" w:pos="284"/>
        </w:tabs>
        <w:spacing w:before="120" w:line="240" w:lineRule="auto"/>
        <w:ind w:hanging="284"/>
        <w:rPr>
          <w:i/>
          <w:szCs w:val="20"/>
        </w:rPr>
      </w:pPr>
      <w:r w:rsidRPr="00475047">
        <w:rPr>
          <w:i/>
          <w:szCs w:val="20"/>
        </w:rPr>
        <w:t>Modelli di giustizia di transizione e di risposta a gravi violazioni dei diritti umani</w:t>
      </w:r>
    </w:p>
    <w:p w14:paraId="7C7AC5E4" w14:textId="77777777" w:rsidR="00375DA2" w:rsidRPr="0067024A" w:rsidRDefault="00375DA2" w:rsidP="00375DA2">
      <w:pPr>
        <w:tabs>
          <w:tab w:val="clear" w:pos="284"/>
        </w:tabs>
        <w:spacing w:line="240" w:lineRule="auto"/>
        <w:contextualSpacing/>
        <w:rPr>
          <w:szCs w:val="20"/>
        </w:rPr>
      </w:pPr>
      <w:r w:rsidRPr="00475047">
        <w:rPr>
          <w:szCs w:val="20"/>
        </w:rPr>
        <w:t>Chiudere i conti con il passato? Corti, tribunali e sanzioni; amnistie e commissioni per la verità; commissioni per la verità e la riconciliazione. Vittime, perpetratori e comunità tra passato e futuro.</w:t>
      </w:r>
      <w:r w:rsidR="0067024A">
        <w:rPr>
          <w:szCs w:val="20"/>
        </w:rPr>
        <w:t xml:space="preserve"> </w:t>
      </w:r>
      <w:r w:rsidR="0067024A" w:rsidRPr="0067024A">
        <w:rPr>
          <w:i/>
          <w:szCs w:val="20"/>
        </w:rPr>
        <w:t>Restorative diplomacy</w:t>
      </w:r>
      <w:r w:rsidR="0067024A">
        <w:rPr>
          <w:szCs w:val="20"/>
        </w:rPr>
        <w:t xml:space="preserve">, </w:t>
      </w:r>
      <w:r w:rsidR="0067024A" w:rsidRPr="0067024A">
        <w:rPr>
          <w:i/>
          <w:szCs w:val="20"/>
        </w:rPr>
        <w:t>restorative peacebuilding</w:t>
      </w:r>
      <w:r w:rsidR="0067024A">
        <w:rPr>
          <w:szCs w:val="20"/>
        </w:rPr>
        <w:t>.</w:t>
      </w:r>
    </w:p>
    <w:p w14:paraId="0D06B0A5" w14:textId="77777777" w:rsidR="00375DA2" w:rsidRPr="00475047" w:rsidRDefault="00375DA2" w:rsidP="00DF2F34">
      <w:pPr>
        <w:tabs>
          <w:tab w:val="clear" w:pos="284"/>
        </w:tabs>
        <w:spacing w:before="120"/>
        <w:rPr>
          <w:rFonts w:eastAsia="MS Mincho"/>
          <w:smallCaps/>
          <w:sz w:val="18"/>
          <w:szCs w:val="18"/>
        </w:rPr>
      </w:pPr>
      <w:r w:rsidRPr="00475047">
        <w:rPr>
          <w:rFonts w:eastAsia="MS Mincho"/>
          <w:smallCaps/>
          <w:sz w:val="18"/>
          <w:szCs w:val="18"/>
        </w:rPr>
        <w:t xml:space="preserve">Parte speciale: </w:t>
      </w:r>
      <w:r>
        <w:rPr>
          <w:rFonts w:eastAsia="MS Mincho"/>
          <w:smallCaps/>
          <w:sz w:val="18"/>
          <w:szCs w:val="18"/>
        </w:rPr>
        <w:t>esperienze di giustizia riparativa</w:t>
      </w:r>
    </w:p>
    <w:p w14:paraId="54B3644F" w14:textId="77777777" w:rsidR="00375DA2" w:rsidRPr="00475047" w:rsidRDefault="00375DA2" w:rsidP="00375DA2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475047">
        <w:rPr>
          <w:szCs w:val="20"/>
        </w:rPr>
        <w:t xml:space="preserve">La </w:t>
      </w:r>
      <w:r w:rsidRPr="00475047">
        <w:rPr>
          <w:i/>
          <w:szCs w:val="20"/>
        </w:rPr>
        <w:t>Truth and Reconciliation Commission</w:t>
      </w:r>
      <w:r w:rsidRPr="00475047">
        <w:rPr>
          <w:szCs w:val="20"/>
        </w:rPr>
        <w:t xml:space="preserve"> del Sudafrica.</w:t>
      </w:r>
    </w:p>
    <w:p w14:paraId="011C17A6" w14:textId="77777777" w:rsidR="00375DA2" w:rsidRPr="00475047" w:rsidRDefault="00375DA2" w:rsidP="00375DA2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 w:rsidRPr="00475047">
        <w:rPr>
          <w:szCs w:val="20"/>
        </w:rPr>
        <w:t xml:space="preserve">Forme di giustizia riparativa nel dialogo israelo-palestinese: l’esperienza del </w:t>
      </w:r>
      <w:r w:rsidRPr="00475047">
        <w:rPr>
          <w:i/>
          <w:szCs w:val="20"/>
        </w:rPr>
        <w:t>Parents Circle-Families Forum</w:t>
      </w:r>
      <w:r w:rsidRPr="00475047">
        <w:rPr>
          <w:szCs w:val="20"/>
        </w:rPr>
        <w:t>.</w:t>
      </w:r>
    </w:p>
    <w:p w14:paraId="2DC3F2D4" w14:textId="77777777" w:rsidR="00375DA2" w:rsidRPr="00CD272F" w:rsidRDefault="00375DA2" w:rsidP="00375DA2">
      <w:pPr>
        <w:numPr>
          <w:ilvl w:val="0"/>
          <w:numId w:val="2"/>
        </w:numPr>
        <w:tabs>
          <w:tab w:val="clear" w:pos="284"/>
        </w:tabs>
        <w:ind w:left="284" w:hanging="284"/>
        <w:contextualSpacing/>
        <w:rPr>
          <w:smallCaps/>
          <w:szCs w:val="20"/>
        </w:rPr>
      </w:pPr>
      <w:r>
        <w:rPr>
          <w:szCs w:val="20"/>
        </w:rPr>
        <w:t xml:space="preserve">Giustizia riparativa, terrorismo e lotta armata: l’esperienza raccontata ne </w:t>
      </w:r>
      <w:r>
        <w:rPr>
          <w:i/>
          <w:szCs w:val="20"/>
        </w:rPr>
        <w:t>Il libro dell’incontro. Vittime e responsabili della lotta armata a confronto</w:t>
      </w:r>
      <w:r w:rsidRPr="00475047">
        <w:rPr>
          <w:szCs w:val="20"/>
        </w:rPr>
        <w:t>.</w:t>
      </w:r>
    </w:p>
    <w:p w14:paraId="51477958" w14:textId="77777777" w:rsidR="00375DA2" w:rsidRPr="00475047" w:rsidRDefault="00375DA2" w:rsidP="00375DA2">
      <w:pPr>
        <w:numPr>
          <w:ilvl w:val="0"/>
          <w:numId w:val="2"/>
        </w:numPr>
        <w:tabs>
          <w:tab w:val="clear" w:pos="284"/>
        </w:tabs>
        <w:ind w:left="284" w:hanging="284"/>
        <w:contextualSpacing/>
        <w:rPr>
          <w:smallCaps/>
          <w:szCs w:val="20"/>
        </w:rPr>
      </w:pPr>
      <w:r>
        <w:rPr>
          <w:szCs w:val="20"/>
        </w:rPr>
        <w:t>Giustizia riparativa, violenza d’impresa, reati ambientali: sfide e prospettive.</w:t>
      </w:r>
    </w:p>
    <w:p w14:paraId="3E071181" w14:textId="77777777" w:rsidR="00375DA2" w:rsidRPr="00475047" w:rsidRDefault="00375DA2" w:rsidP="00375DA2">
      <w:pPr>
        <w:tabs>
          <w:tab w:val="clear" w:pos="284"/>
        </w:tabs>
        <w:spacing w:before="120"/>
        <w:ind w:left="284" w:hanging="284"/>
        <w:rPr>
          <w:rFonts w:eastAsia="MS Mincho"/>
          <w:smallCaps/>
          <w:sz w:val="18"/>
          <w:szCs w:val="18"/>
        </w:rPr>
      </w:pPr>
      <w:r w:rsidRPr="00475047">
        <w:rPr>
          <w:rFonts w:eastAsia="MS Mincho"/>
          <w:smallCaps/>
          <w:sz w:val="18"/>
          <w:szCs w:val="18"/>
        </w:rPr>
        <w:t>Parte pratica (</w:t>
      </w:r>
      <w:r w:rsidRPr="00475047">
        <w:rPr>
          <w:rFonts w:eastAsia="MS Mincho"/>
          <w:i/>
          <w:szCs w:val="18"/>
        </w:rPr>
        <w:t>frequenza vivamente consigliata</w:t>
      </w:r>
      <w:r w:rsidRPr="00475047">
        <w:rPr>
          <w:rFonts w:eastAsia="MS Mincho"/>
          <w:smallCaps/>
          <w:sz w:val="18"/>
          <w:szCs w:val="18"/>
        </w:rPr>
        <w:t>)</w:t>
      </w:r>
    </w:p>
    <w:p w14:paraId="30374CA5" w14:textId="587D5CEF" w:rsidR="00375DA2" w:rsidRPr="00475047" w:rsidRDefault="00375DA2" w:rsidP="00375DA2">
      <w:pPr>
        <w:numPr>
          <w:ilvl w:val="0"/>
          <w:numId w:val="3"/>
        </w:numPr>
        <w:tabs>
          <w:tab w:val="clear" w:pos="284"/>
        </w:tabs>
        <w:ind w:left="284" w:hanging="284"/>
        <w:contextualSpacing/>
        <w:rPr>
          <w:szCs w:val="20"/>
        </w:rPr>
      </w:pPr>
      <w:r w:rsidRPr="00475047">
        <w:rPr>
          <w:szCs w:val="20"/>
        </w:rPr>
        <w:t>Esercizio pratico di mediazione reo-vittima.</w:t>
      </w:r>
    </w:p>
    <w:p w14:paraId="5484140E" w14:textId="77777777" w:rsidR="00375DA2" w:rsidRDefault="00375DA2" w:rsidP="00375DA2">
      <w:pPr>
        <w:numPr>
          <w:ilvl w:val="0"/>
          <w:numId w:val="3"/>
        </w:numPr>
        <w:tabs>
          <w:tab w:val="clear" w:pos="284"/>
        </w:tabs>
        <w:ind w:left="284" w:hanging="284"/>
        <w:contextualSpacing/>
        <w:rPr>
          <w:szCs w:val="20"/>
        </w:rPr>
      </w:pPr>
      <w:r w:rsidRPr="00475047">
        <w:rPr>
          <w:szCs w:val="20"/>
        </w:rPr>
        <w:t>Possibilità di partecipare a un ciclo di esercitazioni.</w:t>
      </w:r>
    </w:p>
    <w:p w14:paraId="6A024D2D" w14:textId="77777777" w:rsidR="00375DA2" w:rsidRPr="00DF2F34" w:rsidRDefault="00375DA2" w:rsidP="00DF2F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557AD5B" w14:textId="77777777" w:rsidR="00375DA2" w:rsidRPr="005D232E" w:rsidRDefault="00375DA2" w:rsidP="00375DA2">
      <w:pPr>
        <w:pStyle w:val="Testo1"/>
        <w:rPr>
          <w:b/>
          <w:i/>
        </w:rPr>
      </w:pPr>
      <w:r w:rsidRPr="00D85B18">
        <w:t xml:space="preserve">In </w:t>
      </w:r>
      <w:r w:rsidRPr="005D232E">
        <w:rPr>
          <w:i/>
        </w:rPr>
        <w:t>Blackboard</w:t>
      </w:r>
      <w:r w:rsidRPr="00D85B18">
        <w:t xml:space="preserve"> verranno messi a disposizione degli studenti </w:t>
      </w:r>
      <w:r>
        <w:t xml:space="preserve">i </w:t>
      </w:r>
      <w:r w:rsidRPr="00D85B18">
        <w:t>materiali didattici e</w:t>
      </w:r>
      <w:r>
        <w:t xml:space="preserve"> le</w:t>
      </w:r>
      <w:r w:rsidRPr="00D85B18">
        <w:t xml:space="preserve"> indicazioni bibliografiche. </w:t>
      </w:r>
      <w:r w:rsidRPr="00857C24">
        <w:t xml:space="preserve">L’esame si prepara studiando integralmente le letture obbligatorie e un </w:t>
      </w:r>
      <w:r w:rsidRPr="00857C24">
        <w:lastRenderedPageBreak/>
        <w:t xml:space="preserve">volume a scelta dello studente tra quelli </w:t>
      </w:r>
      <w:r>
        <w:t xml:space="preserve">indicati in </w:t>
      </w:r>
      <w:r>
        <w:rPr>
          <w:i/>
        </w:rPr>
        <w:t>Blackboard</w:t>
      </w:r>
      <w:r>
        <w:t xml:space="preserve">. </w:t>
      </w:r>
      <w:r w:rsidRPr="00D85B18">
        <w:t xml:space="preserve">L’accesso e la consultazione di </w:t>
      </w:r>
      <w:r w:rsidRPr="00775857">
        <w:rPr>
          <w:i/>
        </w:rPr>
        <w:t>Blackboard</w:t>
      </w:r>
      <w:r w:rsidRPr="00D85B18">
        <w:t xml:space="preserve"> sono quindi essenziali e obbligatori per tutti gli studenti.</w:t>
      </w:r>
    </w:p>
    <w:p w14:paraId="3FA27F7C" w14:textId="355F7F12" w:rsidR="00375DA2" w:rsidRPr="00475047" w:rsidRDefault="00375DA2" w:rsidP="00375DA2">
      <w:pPr>
        <w:pStyle w:val="Testo1"/>
        <w:rPr>
          <w:i/>
        </w:rPr>
      </w:pPr>
      <w:r w:rsidRPr="00475047">
        <w:rPr>
          <w:i/>
        </w:rPr>
        <w:t>Frequenza delle lezioni</w:t>
      </w:r>
    </w:p>
    <w:p w14:paraId="58018299" w14:textId="77777777" w:rsidR="00375DA2" w:rsidRDefault="00375DA2" w:rsidP="00375DA2">
      <w:pPr>
        <w:pStyle w:val="Testo1"/>
        <w:spacing w:before="0"/>
      </w:pPr>
      <w:r w:rsidRPr="00475047">
        <w:t xml:space="preserve">Per il taglio teorico-pratico dell’insegnamento e la diversificazione dei temi di cui al programma è </w:t>
      </w:r>
      <w:r>
        <w:t>particolarmente raccomandata</w:t>
      </w:r>
      <w:r w:rsidRPr="00475047">
        <w:t xml:space="preserve"> la frequenza assidua delle lezioni.</w:t>
      </w:r>
    </w:p>
    <w:p w14:paraId="7F054D68" w14:textId="77777777" w:rsidR="00375DA2" w:rsidRDefault="00375DA2" w:rsidP="00375DA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97783AC" w14:textId="77777777" w:rsidR="00375DA2" w:rsidRPr="00475047" w:rsidRDefault="00375DA2" w:rsidP="00375DA2">
      <w:pPr>
        <w:tabs>
          <w:tab w:val="clear" w:pos="284"/>
        </w:tabs>
        <w:spacing w:line="220" w:lineRule="exact"/>
        <w:ind w:firstLine="284"/>
        <w:rPr>
          <w:rFonts w:ascii="Times" w:hAnsi="Times" w:cs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L’insegnamento</w:t>
      </w:r>
      <w:r w:rsidRPr="00475047">
        <w:rPr>
          <w:rFonts w:ascii="Times" w:hAnsi="Times"/>
          <w:noProof/>
          <w:sz w:val="18"/>
          <w:szCs w:val="20"/>
        </w:rPr>
        <w:t xml:space="preserve"> di caratterizza per una didattica fortemente interattiva, in cui</w:t>
      </w:r>
      <w:r>
        <w:rPr>
          <w:rFonts w:ascii="Times" w:hAnsi="Times"/>
          <w:noProof/>
          <w:sz w:val="18"/>
          <w:szCs w:val="20"/>
        </w:rPr>
        <w:t xml:space="preserve"> al</w:t>
      </w:r>
      <w:r w:rsidRPr="00475047">
        <w:rPr>
          <w:rFonts w:ascii="Times" w:hAnsi="Times"/>
          <w:noProof/>
          <w:sz w:val="18"/>
          <w:szCs w:val="20"/>
        </w:rPr>
        <w:t xml:space="preserve">le lezioni partecipate si combinano esercizi pratici e gioci di ruolo. L’apprendimento sarà inoltre supportato, ove opportuno, dalla fruizione di materiali audiovisivi (documentari, brani di film e docu-film). </w:t>
      </w:r>
      <w:r w:rsidRPr="00475047">
        <w:rPr>
          <w:rFonts w:ascii="Times" w:hAnsi="Times" w:cs="Times"/>
          <w:noProof/>
          <w:sz w:val="18"/>
          <w:szCs w:val="20"/>
        </w:rPr>
        <w:t>Nel corso dell’anno, ove possibile, gli studenti saranno coinvolti in eventuali occasioni di approfondimento mediante la segnalazione di seminari, convegni, incontri con esperti e testimoni privilegiati.</w:t>
      </w:r>
    </w:p>
    <w:p w14:paraId="49031EBF" w14:textId="77777777" w:rsidR="00375DA2" w:rsidRDefault="00375DA2" w:rsidP="00375DA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7BF673F" w14:textId="77777777" w:rsidR="00375DA2" w:rsidRPr="00475047" w:rsidRDefault="00375DA2" w:rsidP="00375DA2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475047">
        <w:rPr>
          <w:rFonts w:ascii="Times" w:hAnsi="Times"/>
          <w:noProof/>
          <w:sz w:val="18"/>
          <w:szCs w:val="20"/>
        </w:rPr>
        <w:t>L’esame è orale e inteso a verificare</w:t>
      </w:r>
      <w:r>
        <w:rPr>
          <w:rFonts w:ascii="Times" w:hAnsi="Times"/>
          <w:noProof/>
          <w:sz w:val="18"/>
          <w:szCs w:val="20"/>
        </w:rPr>
        <w:t xml:space="preserve"> il raggiungimento dei risultati di apprendimento attesi (v. sopra) con particolare riguardo</w:t>
      </w:r>
      <w:r w:rsidRPr="00475047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>alla</w:t>
      </w:r>
      <w:r w:rsidRPr="00475047">
        <w:rPr>
          <w:rFonts w:ascii="Times" w:hAnsi="Times"/>
          <w:noProof/>
          <w:sz w:val="18"/>
          <w:szCs w:val="20"/>
        </w:rPr>
        <w:t xml:space="preserve"> piena acquisizione delle nozioni di cui all’</w:t>
      </w:r>
      <w:r w:rsidRPr="00775857">
        <w:rPr>
          <w:rFonts w:ascii="Times" w:hAnsi="Times"/>
          <w:i/>
          <w:noProof/>
          <w:sz w:val="18"/>
          <w:szCs w:val="20"/>
        </w:rPr>
        <w:t>intero</w:t>
      </w:r>
      <w:r w:rsidRPr="00475047">
        <w:rPr>
          <w:rFonts w:ascii="Times" w:hAnsi="Times"/>
          <w:noProof/>
          <w:sz w:val="18"/>
          <w:szCs w:val="20"/>
        </w:rPr>
        <w:t xml:space="preserve"> programma</w:t>
      </w:r>
      <w:r>
        <w:rPr>
          <w:rFonts w:ascii="Times" w:hAnsi="Times"/>
          <w:noProof/>
          <w:sz w:val="18"/>
          <w:szCs w:val="20"/>
        </w:rPr>
        <w:t>, al</w:t>
      </w:r>
      <w:r w:rsidRPr="00475047">
        <w:rPr>
          <w:rFonts w:ascii="Times" w:hAnsi="Times"/>
          <w:noProof/>
          <w:sz w:val="18"/>
          <w:szCs w:val="20"/>
        </w:rPr>
        <w:t xml:space="preserve">la comprensione </w:t>
      </w:r>
      <w:r w:rsidRPr="00475047">
        <w:rPr>
          <w:rFonts w:ascii="Times" w:hAnsi="Times"/>
          <w:i/>
          <w:noProof/>
          <w:sz w:val="18"/>
          <w:szCs w:val="20"/>
        </w:rPr>
        <w:t>critica</w:t>
      </w:r>
      <w:r w:rsidRPr="00475047">
        <w:rPr>
          <w:rFonts w:ascii="Times" w:hAnsi="Times"/>
          <w:noProof/>
          <w:sz w:val="18"/>
          <w:szCs w:val="20"/>
        </w:rPr>
        <w:t xml:space="preserve"> dei problemi presentati</w:t>
      </w:r>
      <w:r>
        <w:rPr>
          <w:rFonts w:ascii="Times" w:hAnsi="Times"/>
          <w:noProof/>
          <w:sz w:val="18"/>
          <w:szCs w:val="20"/>
        </w:rPr>
        <w:t>, al</w:t>
      </w:r>
      <w:r w:rsidRPr="00475047">
        <w:rPr>
          <w:rFonts w:ascii="Times" w:hAnsi="Times"/>
          <w:noProof/>
          <w:sz w:val="18"/>
          <w:szCs w:val="20"/>
        </w:rPr>
        <w:t>l’acquisizione del linguaggio tecnico. Peso decisivo ai fini della valutazione hanno pertanto: la capacità di sapersi orientare in modo autonomo e sicuro tra i temi del program</w:t>
      </w:r>
      <w:r>
        <w:rPr>
          <w:rFonts w:ascii="Times" w:hAnsi="Times"/>
          <w:noProof/>
          <w:sz w:val="18"/>
          <w:szCs w:val="20"/>
        </w:rPr>
        <w:t>m</w:t>
      </w:r>
      <w:r w:rsidRPr="00475047">
        <w:rPr>
          <w:rFonts w:ascii="Times" w:hAnsi="Times"/>
          <w:noProof/>
          <w:sz w:val="18"/>
          <w:szCs w:val="20"/>
        </w:rPr>
        <w:t>a; la capacità di ragionamento critico e di collegamento interdisciplinare; la proprietà di linguaggio sp</w:t>
      </w:r>
      <w:r>
        <w:rPr>
          <w:rFonts w:ascii="Times" w:hAnsi="Times"/>
          <w:noProof/>
          <w:sz w:val="18"/>
          <w:szCs w:val="20"/>
        </w:rPr>
        <w:t>e</w:t>
      </w:r>
      <w:r w:rsidRPr="00475047">
        <w:rPr>
          <w:rFonts w:ascii="Times" w:hAnsi="Times"/>
          <w:noProof/>
          <w:sz w:val="18"/>
          <w:szCs w:val="20"/>
        </w:rPr>
        <w:t xml:space="preserve">cialistico. La mera conoscenza nozionistica degli argomenti, disgiunta dalla consapevolezza dei problemi in gioco, non è sufficiente a conseguire una valutazione positiva, così come insufficiente </w:t>
      </w:r>
      <w:r>
        <w:rPr>
          <w:rFonts w:ascii="Times" w:hAnsi="Times"/>
          <w:noProof/>
          <w:sz w:val="18"/>
          <w:szCs w:val="20"/>
        </w:rPr>
        <w:t xml:space="preserve">viene </w:t>
      </w:r>
      <w:r w:rsidRPr="00475047">
        <w:rPr>
          <w:rFonts w:ascii="Times" w:hAnsi="Times"/>
          <w:noProof/>
          <w:sz w:val="18"/>
          <w:szCs w:val="20"/>
        </w:rPr>
        <w:t>valutata la conoscenza solo parziale o approssimativa dei temi analizzati.</w:t>
      </w:r>
    </w:p>
    <w:p w14:paraId="24E897E8" w14:textId="77777777" w:rsidR="00375DA2" w:rsidRDefault="00375DA2" w:rsidP="00375DA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A1865B8" w14:textId="77777777" w:rsidR="00375DA2" w:rsidRPr="00DF2F34" w:rsidRDefault="00375DA2" w:rsidP="00375DA2">
      <w:pPr>
        <w:pStyle w:val="Testo2"/>
        <w:rPr>
          <w:i/>
        </w:rPr>
      </w:pPr>
      <w:r w:rsidRPr="00DF2F34">
        <w:rPr>
          <w:i/>
        </w:rPr>
        <w:t>Prerequisiti</w:t>
      </w:r>
    </w:p>
    <w:p w14:paraId="6502ED6D" w14:textId="2D7F1C32" w:rsidR="00375DA2" w:rsidRDefault="00375DA2" w:rsidP="00105CAD">
      <w:pPr>
        <w:pStyle w:val="Testo2"/>
      </w:pPr>
      <w:r w:rsidRPr="00375DA2">
        <w:t>Per il taglio introduttivo dell’insegnamento, rivolto sia agli studenti di Scienze politiche e sociali, sia agli studenti di Giurisprudenza, non sono necessari prerequisiti relativi ai contenuti giuridici. Nondimeno, agli studenti di Giurisprudenza verrà richiesta la capacità di operare gli opportuni collegamenti al diritto penale e al diritto processuale penale.</w:t>
      </w:r>
    </w:p>
    <w:p w14:paraId="00697672" w14:textId="19181074" w:rsidR="00B5349F" w:rsidRPr="00375DA2" w:rsidRDefault="00B5349F" w:rsidP="00105CAD">
      <w:pPr>
        <w:pStyle w:val="Testo2"/>
      </w:pPr>
      <w:r w:rsidRPr="001D599A">
        <w:rPr>
          <w:u w:val="single"/>
        </w:rPr>
        <w:t>Gli studenti internazionali ed Erasmus che intendono inserire questo insegnamento nel piano di studi devono avere una ottima conoscenza della lingua italiana, parlata e scritta, e della terminologia giuridica in italian</w:t>
      </w:r>
      <w:r>
        <w:rPr>
          <w:u w:val="single"/>
        </w:rPr>
        <w:t>o</w:t>
      </w:r>
      <w:r w:rsidRPr="001D599A">
        <w:rPr>
          <w:u w:val="single"/>
        </w:rPr>
        <w:t xml:space="preserve">. </w:t>
      </w:r>
      <w:r>
        <w:t>L’insegnamento e l’esame esigono la comprensione, il commento e la discussione di testi giuridici complessi in lingua italiana.</w:t>
      </w:r>
    </w:p>
    <w:p w14:paraId="3C5B6788" w14:textId="77777777" w:rsidR="00375DA2" w:rsidRPr="00DF2F34" w:rsidRDefault="00375DA2" w:rsidP="00105CAD">
      <w:pPr>
        <w:pStyle w:val="Testo2"/>
        <w:rPr>
          <w:i/>
        </w:rPr>
      </w:pPr>
      <w:r w:rsidRPr="00DF2F34">
        <w:rPr>
          <w:i/>
        </w:rPr>
        <w:t>Propedeuticità (per i soli studenti di Giurisprudenza)</w:t>
      </w:r>
    </w:p>
    <w:p w14:paraId="199FACB1" w14:textId="6DBE655B" w:rsidR="00375DA2" w:rsidRDefault="00375DA2" w:rsidP="00105CAD">
      <w:pPr>
        <w:pStyle w:val="Testo2"/>
      </w:pPr>
      <w:r w:rsidRPr="00361901">
        <w:t xml:space="preserve">L’insegnamento di Giustizia riparativa presuppone il </w:t>
      </w:r>
      <w:r w:rsidRPr="00344D84">
        <w:rPr>
          <w:i/>
        </w:rPr>
        <w:t>superamento</w:t>
      </w:r>
      <w:r w:rsidRPr="00361901">
        <w:t xml:space="preserve"> degli esami di Diritto penale I e, alternativamente, di Criminologia o Diritto penale II.</w:t>
      </w:r>
      <w:r>
        <w:t xml:space="preserve"> </w:t>
      </w:r>
      <w:r w:rsidRPr="00361901">
        <w:t>È responsabilità degli studenti presentarsi all</w:t>
      </w:r>
      <w:r>
        <w:t>’</w:t>
      </w:r>
      <w:r w:rsidRPr="00361901">
        <w:t>esame di Giustizia riparativa in regola con le propedeuticità. L</w:t>
      </w:r>
      <w:r>
        <w:t>’</w:t>
      </w:r>
      <w:r w:rsidRPr="00361901">
        <w:t>eventuale esame di Giustizia riparativa</w:t>
      </w:r>
      <w:r>
        <w:t xml:space="preserve"> erroneamente</w:t>
      </w:r>
      <w:r w:rsidRPr="00361901">
        <w:t xml:space="preserve"> svolto in assenza del superamento di Diritto penale I, Diritto penale II o Criminologia non potrà essere convalidato e dovrà essere sostenuto nuovamente.</w:t>
      </w:r>
    </w:p>
    <w:p w14:paraId="1DB0C570" w14:textId="684F8D85" w:rsidR="00375DA2" w:rsidRPr="009F04C6" w:rsidRDefault="00375DA2" w:rsidP="00105CAD">
      <w:pPr>
        <w:pStyle w:val="Testo2"/>
        <w:rPr>
          <w:i/>
        </w:rPr>
      </w:pPr>
      <w:r>
        <w:rPr>
          <w:i/>
        </w:rPr>
        <w:lastRenderedPageBreak/>
        <w:t>Esercitazioni</w:t>
      </w:r>
    </w:p>
    <w:p w14:paraId="219329F0" w14:textId="28E4227F" w:rsidR="00375DA2" w:rsidRDefault="00375DA2" w:rsidP="00105CA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L’insegnamento è completato da un ciclo di esercitazioni, a frequenza libera, tenute da Diletta Stendardi, avvocato e mediatrice penale. </w:t>
      </w:r>
      <w:r w:rsidRPr="00775857">
        <w:rPr>
          <w:rFonts w:ascii="Times" w:hAnsi="Times"/>
          <w:noProof/>
          <w:sz w:val="18"/>
          <w:szCs w:val="20"/>
        </w:rPr>
        <w:t>La metodologia di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775857">
        <w:rPr>
          <w:rFonts w:ascii="Times" w:hAnsi="Times"/>
          <w:noProof/>
          <w:sz w:val="18"/>
          <w:szCs w:val="20"/>
        </w:rPr>
        <w:t xml:space="preserve">lavoro </w:t>
      </w:r>
      <w:r>
        <w:rPr>
          <w:rFonts w:ascii="Times" w:hAnsi="Times"/>
          <w:noProof/>
          <w:sz w:val="18"/>
          <w:szCs w:val="20"/>
        </w:rPr>
        <w:t xml:space="preserve">è attiva e </w:t>
      </w:r>
      <w:r w:rsidRPr="00775857">
        <w:rPr>
          <w:rFonts w:ascii="Times" w:hAnsi="Times"/>
          <w:noProof/>
          <w:sz w:val="18"/>
          <w:szCs w:val="20"/>
        </w:rPr>
        <w:t>prevede il diretto coinvolgimento dei partecipanti in una o più attività pratiche.</w:t>
      </w:r>
      <w:r w:rsidR="00B5349F">
        <w:rPr>
          <w:rFonts w:ascii="Times" w:hAnsi="Times"/>
          <w:noProof/>
          <w:sz w:val="18"/>
          <w:szCs w:val="20"/>
        </w:rPr>
        <w:t xml:space="preserve"> </w:t>
      </w:r>
    </w:p>
    <w:p w14:paraId="25BCA445" w14:textId="77777777" w:rsidR="0067024A" w:rsidRDefault="0067024A" w:rsidP="00105CAD">
      <w:pPr>
        <w:tabs>
          <w:tab w:val="clear" w:pos="284"/>
        </w:tabs>
        <w:spacing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>
        <w:rPr>
          <w:rFonts w:ascii="Times" w:hAnsi="Times"/>
          <w:i/>
          <w:noProof/>
          <w:sz w:val="18"/>
          <w:szCs w:val="20"/>
        </w:rPr>
        <w:t>Avvertenze</w:t>
      </w:r>
    </w:p>
    <w:p w14:paraId="50F6BADD" w14:textId="77777777" w:rsidR="00B577FD" w:rsidRPr="00B577FD" w:rsidRDefault="00B577FD" w:rsidP="00105CAD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577FD">
        <w:rPr>
          <w:rFonts w:ascii="Times" w:hAnsi="Times"/>
          <w:noProof/>
          <w:sz w:val="18"/>
          <w:szCs w:val="20"/>
        </w:rPr>
        <w:t>Nel caso in cui la situazione sanitaria relativa alla pandemia di Covid-19 non dovesse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B577FD">
        <w:rPr>
          <w:rFonts w:ascii="Times" w:hAnsi="Times"/>
          <w:noProof/>
          <w:sz w:val="18"/>
          <w:szCs w:val="20"/>
        </w:rPr>
        <w:t>consentire la didattica in presenza, sarà garantita l’erogazione a distanza dell’insegnamento con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B577FD">
        <w:rPr>
          <w:rFonts w:ascii="Times" w:hAnsi="Times"/>
          <w:noProof/>
          <w:sz w:val="18"/>
          <w:szCs w:val="20"/>
        </w:rPr>
        <w:t>modalità che verranno comunicate in tempo utile agli studenti</w:t>
      </w:r>
      <w:r>
        <w:rPr>
          <w:rFonts w:ascii="Times" w:hAnsi="Times"/>
          <w:noProof/>
          <w:sz w:val="18"/>
          <w:szCs w:val="20"/>
        </w:rPr>
        <w:t>.</w:t>
      </w:r>
    </w:p>
    <w:p w14:paraId="246B9B49" w14:textId="77777777" w:rsidR="00375DA2" w:rsidRPr="00475047" w:rsidRDefault="00375DA2" w:rsidP="00DF2F34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475047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F3101AE" w14:textId="77777777" w:rsidR="00375DA2" w:rsidRPr="00375DA2" w:rsidRDefault="00375DA2" w:rsidP="00375DA2">
      <w:pPr>
        <w:pStyle w:val="Testo2"/>
      </w:pPr>
      <w:r w:rsidRPr="00475047">
        <w:t xml:space="preserve">Il Prof. Claudia Mazzucato riceve gli studenti presso il Dipartimento di Scienze giuridiche (edificio Gregorianum, IV piano, stanza 414) nei giorni e orari riportati nella pagina web della docente e in </w:t>
      </w:r>
      <w:r w:rsidRPr="00475047">
        <w:rPr>
          <w:i/>
        </w:rPr>
        <w:t>Blackboard</w:t>
      </w:r>
      <w:r w:rsidRPr="00475047">
        <w:t>. Il ricevimento avviene su appuntamento, da concordarsi per e-mail. Gli studenti sono tenuti a consultare gli avvisi on line per ulteriori informazioni o eventuali cambiamenti.</w:t>
      </w:r>
    </w:p>
    <w:sectPr w:rsidR="00375DA2" w:rsidRPr="00375D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FF0"/>
    <w:multiLevelType w:val="hybridMultilevel"/>
    <w:tmpl w:val="B9429292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7CB0"/>
    <w:multiLevelType w:val="hybridMultilevel"/>
    <w:tmpl w:val="AE2A1BC0"/>
    <w:lvl w:ilvl="0" w:tplc="FA86A768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D4D9E"/>
    <w:multiLevelType w:val="hybridMultilevel"/>
    <w:tmpl w:val="C610E80E"/>
    <w:lvl w:ilvl="0" w:tplc="17C2B2AE">
      <w:start w:val="1"/>
      <w:numFmt w:val="bullet"/>
      <w:lvlText w:val="–"/>
      <w:lvlJc w:val="left"/>
      <w:pPr>
        <w:ind w:left="6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79B85AE6"/>
    <w:multiLevelType w:val="hybridMultilevel"/>
    <w:tmpl w:val="0848FE14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6101244">
    <w:abstractNumId w:val="1"/>
  </w:num>
  <w:num w:numId="2" w16cid:durableId="782309225">
    <w:abstractNumId w:val="0"/>
  </w:num>
  <w:num w:numId="3" w16cid:durableId="964114845">
    <w:abstractNumId w:val="3"/>
  </w:num>
  <w:num w:numId="4" w16cid:durableId="1431853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00"/>
    <w:rsid w:val="00043900"/>
    <w:rsid w:val="00105CAD"/>
    <w:rsid w:val="00187B99"/>
    <w:rsid w:val="002014DD"/>
    <w:rsid w:val="002D5E17"/>
    <w:rsid w:val="00322FC5"/>
    <w:rsid w:val="00375DA2"/>
    <w:rsid w:val="004D1217"/>
    <w:rsid w:val="004D6008"/>
    <w:rsid w:val="00640794"/>
    <w:rsid w:val="0067024A"/>
    <w:rsid w:val="006D6D0F"/>
    <w:rsid w:val="006F1772"/>
    <w:rsid w:val="008762E9"/>
    <w:rsid w:val="008942E7"/>
    <w:rsid w:val="008A1204"/>
    <w:rsid w:val="00900CCA"/>
    <w:rsid w:val="00901F9A"/>
    <w:rsid w:val="00924B77"/>
    <w:rsid w:val="00940DA2"/>
    <w:rsid w:val="009E055C"/>
    <w:rsid w:val="00A74F6F"/>
    <w:rsid w:val="00AD7557"/>
    <w:rsid w:val="00B50C5D"/>
    <w:rsid w:val="00B51253"/>
    <w:rsid w:val="00B525CC"/>
    <w:rsid w:val="00B5349F"/>
    <w:rsid w:val="00B577FD"/>
    <w:rsid w:val="00C4336B"/>
    <w:rsid w:val="00CD5B41"/>
    <w:rsid w:val="00D404F2"/>
    <w:rsid w:val="00DB7595"/>
    <w:rsid w:val="00DF2F34"/>
    <w:rsid w:val="00E607E6"/>
    <w:rsid w:val="00FA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3ACA8"/>
  <w15:chartTrackingRefBased/>
  <w15:docId w15:val="{4C139084-2229-4E26-B8A1-BFDE126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75DA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75DA2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01F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65F5E-A75C-3943-B89B-37A54D35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4</Pages>
  <Words>1130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5</cp:revision>
  <cp:lastPrinted>2019-05-23T13:57:00Z</cp:lastPrinted>
  <dcterms:created xsi:type="dcterms:W3CDTF">2022-05-30T09:02:00Z</dcterms:created>
  <dcterms:modified xsi:type="dcterms:W3CDTF">2022-06-10T07:37:00Z</dcterms:modified>
</cp:coreProperties>
</file>