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9861F" w14:textId="77777777" w:rsidR="00360318" w:rsidRDefault="00360318" w:rsidP="00360318">
      <w:pPr>
        <w:pStyle w:val="Titolo1"/>
      </w:pPr>
      <w:r>
        <w:t>Sociologia delle diseguaglianze e delle differenze</w:t>
      </w:r>
    </w:p>
    <w:p w14:paraId="3D2B229C" w14:textId="77777777" w:rsidR="00360318" w:rsidRDefault="00360318" w:rsidP="00360318">
      <w:pPr>
        <w:pStyle w:val="Titolo2"/>
      </w:pPr>
      <w:r>
        <w:t>Prof</w:t>
      </w:r>
      <w:r w:rsidR="009619E9">
        <w:t>. Maddalena Colombo</w:t>
      </w:r>
    </w:p>
    <w:p w14:paraId="3ADBA239" w14:textId="77777777" w:rsidR="002D5E17" w:rsidRDefault="00360318" w:rsidP="0036031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6EB3F99" w14:textId="77777777" w:rsidR="00360318" w:rsidRDefault="00360318" w:rsidP="00360318">
      <w:r w:rsidRPr="00E727CA">
        <w:t xml:space="preserve">A partire da un punto di vista sociologico, il corso si propone di collocare l’analisi della disabilità e della marginalità all’interno dei più ampi processi di formazione delle disuguaglianze </w:t>
      </w:r>
      <w:r>
        <w:t>sociali e delle</w:t>
      </w:r>
      <w:r w:rsidRPr="00E727CA">
        <w:t xml:space="preserve"> </w:t>
      </w:r>
      <w:r>
        <w:t xml:space="preserve">situazioni </w:t>
      </w:r>
      <w:r w:rsidRPr="00E727CA">
        <w:t>di impoverimento materiale e relazionale.</w:t>
      </w:r>
      <w:r>
        <w:t xml:space="preserve"> </w:t>
      </w:r>
      <w:r w:rsidRPr="00E727CA">
        <w:t>L’attenzione si rivolgerà</w:t>
      </w:r>
      <w:r>
        <w:t>,</w:t>
      </w:r>
      <w:r w:rsidRPr="00E727CA">
        <w:t xml:space="preserve"> </w:t>
      </w:r>
      <w:r>
        <w:t xml:space="preserve">da un lato, </w:t>
      </w:r>
      <w:r w:rsidRPr="00E727CA">
        <w:t>a</w:t>
      </w:r>
      <w:r>
        <w:t>d</w:t>
      </w:r>
      <w:r w:rsidRPr="00E727CA">
        <w:t xml:space="preserve"> ambiti </w:t>
      </w:r>
      <w:r>
        <w:t>di produzione delle disuguaglianze (</w:t>
      </w:r>
      <w:r w:rsidRPr="00E727CA">
        <w:t xml:space="preserve">istruzione, </w:t>
      </w:r>
      <w:r>
        <w:t>l</w:t>
      </w:r>
      <w:r w:rsidRPr="00E727CA">
        <w:t>avoro</w:t>
      </w:r>
      <w:r>
        <w:t xml:space="preserve">, salute e welfare), dall’altro a processi di esclusione e segregazione che colpiscono le persone più fragili. </w:t>
      </w:r>
    </w:p>
    <w:p w14:paraId="59F390B8" w14:textId="77777777" w:rsidR="00360318" w:rsidRDefault="00360318" w:rsidP="009619E9">
      <w:pPr>
        <w:spacing w:before="120"/>
      </w:pPr>
      <w:r>
        <w:t>Al termine del corso, lo studente sarà in grado di:</w:t>
      </w:r>
    </w:p>
    <w:p w14:paraId="7003CF43" w14:textId="77777777" w:rsidR="00360318" w:rsidRPr="00701CED" w:rsidRDefault="00360318" w:rsidP="009619E9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22"/>
        </w:rPr>
      </w:pPr>
      <w:r w:rsidRPr="00701CED">
        <w:rPr>
          <w:rFonts w:ascii="Times New Roman" w:hAnsi="Times New Roman"/>
        </w:rPr>
        <w:t>Comprendere e interpretare correttamente le molteplici</w:t>
      </w:r>
      <w:r w:rsidRPr="00701CED">
        <w:rPr>
          <w:rFonts w:ascii="Times New Roman" w:hAnsi="Times New Roman"/>
          <w:spacing w:val="-6"/>
        </w:rPr>
        <w:t xml:space="preserve"> </w:t>
      </w:r>
      <w:r w:rsidRPr="00701CED">
        <w:rPr>
          <w:rFonts w:ascii="Times New Roman" w:hAnsi="Times New Roman"/>
        </w:rPr>
        <w:t>e</w:t>
      </w:r>
      <w:r w:rsidRPr="00701CED">
        <w:rPr>
          <w:rFonts w:ascii="Times New Roman" w:hAnsi="Times New Roman"/>
          <w:spacing w:val="-6"/>
        </w:rPr>
        <w:t xml:space="preserve"> </w:t>
      </w:r>
      <w:r w:rsidRPr="00701CED">
        <w:rPr>
          <w:rFonts w:ascii="Times New Roman" w:hAnsi="Times New Roman"/>
        </w:rPr>
        <w:t>repentine</w:t>
      </w:r>
      <w:r w:rsidRPr="00701CED">
        <w:rPr>
          <w:rFonts w:ascii="Times New Roman" w:hAnsi="Times New Roman"/>
          <w:spacing w:val="-6"/>
        </w:rPr>
        <w:t xml:space="preserve"> </w:t>
      </w:r>
      <w:r w:rsidRPr="00701CED">
        <w:rPr>
          <w:rFonts w:ascii="Times New Roman" w:hAnsi="Times New Roman"/>
        </w:rPr>
        <w:t>trasformazioni</w:t>
      </w:r>
      <w:r w:rsidRPr="00701CED">
        <w:rPr>
          <w:rFonts w:ascii="Times New Roman" w:hAnsi="Times New Roman"/>
          <w:spacing w:val="-6"/>
        </w:rPr>
        <w:t xml:space="preserve"> </w:t>
      </w:r>
      <w:r w:rsidRPr="00701CED">
        <w:rPr>
          <w:rFonts w:ascii="Times New Roman" w:hAnsi="Times New Roman"/>
        </w:rPr>
        <w:t>sociali</w:t>
      </w:r>
      <w:r w:rsidRPr="00701CED">
        <w:rPr>
          <w:rFonts w:ascii="Times New Roman" w:hAnsi="Times New Roman"/>
          <w:spacing w:val="-7"/>
        </w:rPr>
        <w:t xml:space="preserve"> </w:t>
      </w:r>
      <w:r w:rsidRPr="00701CED">
        <w:rPr>
          <w:rFonts w:ascii="Times New Roman" w:hAnsi="Times New Roman"/>
        </w:rPr>
        <w:t>e</w:t>
      </w:r>
      <w:r w:rsidRPr="00701CED">
        <w:rPr>
          <w:rFonts w:ascii="Times New Roman" w:hAnsi="Times New Roman"/>
          <w:spacing w:val="-6"/>
        </w:rPr>
        <w:t xml:space="preserve"> </w:t>
      </w:r>
      <w:r w:rsidRPr="00701CED">
        <w:rPr>
          <w:rFonts w:ascii="Times New Roman" w:hAnsi="Times New Roman"/>
        </w:rPr>
        <w:t xml:space="preserve">culturali, che richiedono adeguamenti costanti nella presa in carico delle persone con disabilità o in situazione di marginalità; </w:t>
      </w:r>
    </w:p>
    <w:p w14:paraId="5D33372C" w14:textId="77777777" w:rsidR="00360318" w:rsidRDefault="00360318" w:rsidP="009619E9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701CED">
        <w:rPr>
          <w:rFonts w:ascii="Times New Roman" w:hAnsi="Times New Roman"/>
        </w:rPr>
        <w:t>utilizzare gli esiti delle rice</w:t>
      </w:r>
      <w:r>
        <w:rPr>
          <w:rFonts w:ascii="Times New Roman" w:hAnsi="Times New Roman"/>
        </w:rPr>
        <w:t>rche empiriche svolte in ambito</w:t>
      </w:r>
      <w:r w:rsidRPr="00701CED">
        <w:rPr>
          <w:rFonts w:ascii="Times New Roman" w:hAnsi="Times New Roman"/>
        </w:rPr>
        <w:t xml:space="preserve"> sociologico per la progettazione di adeguati interventi; </w:t>
      </w:r>
    </w:p>
    <w:p w14:paraId="10D87A50" w14:textId="77777777" w:rsidR="00360318" w:rsidRPr="00701CED" w:rsidRDefault="00360318" w:rsidP="009619E9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contestualizzare l’analisi dei bisogni delle categorie target in relazione ai processi di esclusione che li riguardano.</w:t>
      </w:r>
    </w:p>
    <w:p w14:paraId="5BD9150B" w14:textId="77777777" w:rsidR="00360318" w:rsidRDefault="00360318" w:rsidP="0036031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0939DD" w14:textId="77777777" w:rsidR="00360318" w:rsidRPr="00E727CA" w:rsidRDefault="00360318" w:rsidP="00360318">
      <w:pPr>
        <w:ind w:left="284" w:hanging="284"/>
        <w:rPr>
          <w:i/>
          <w:smallCaps/>
        </w:rPr>
      </w:pPr>
      <w:r w:rsidRPr="00E727CA">
        <w:t>1.</w:t>
      </w:r>
      <w:r w:rsidRPr="00E727CA">
        <w:tab/>
      </w:r>
      <w:r w:rsidRPr="00E727CA">
        <w:rPr>
          <w:i/>
        </w:rPr>
        <w:t>Concettualizzazioni e percorsi di analisi</w:t>
      </w:r>
    </w:p>
    <w:p w14:paraId="26FD9839" w14:textId="77777777" w:rsidR="00360318" w:rsidRPr="00E727CA" w:rsidRDefault="00360318" w:rsidP="00360318">
      <w:pPr>
        <w:ind w:left="284" w:hanging="284"/>
      </w:pPr>
      <w:r>
        <w:t>–</w:t>
      </w:r>
      <w:r>
        <w:tab/>
      </w:r>
      <w:r w:rsidRPr="00E727CA">
        <w:t>Disuguaglianze, diversità, differenze: i processi di differenziazione sociale</w:t>
      </w:r>
      <w:r>
        <w:t xml:space="preserve"> e gli approcci teorici in sociologia</w:t>
      </w:r>
      <w:r w:rsidRPr="00E727CA">
        <w:t xml:space="preserve">. </w:t>
      </w:r>
    </w:p>
    <w:p w14:paraId="69C57A60" w14:textId="77777777" w:rsidR="00360318" w:rsidRDefault="00360318" w:rsidP="00360318">
      <w:pPr>
        <w:ind w:left="284" w:hanging="284"/>
      </w:pPr>
      <w:r>
        <w:t>–</w:t>
      </w:r>
      <w:r>
        <w:tab/>
        <w:t>Disuguaglianze sociali rispetto a: lavoro, istruzione, accesso al welfare e salute.</w:t>
      </w:r>
    </w:p>
    <w:p w14:paraId="57F4B381" w14:textId="77777777" w:rsidR="00360318" w:rsidRDefault="00360318" w:rsidP="00360318">
      <w:pPr>
        <w:pStyle w:val="Paragrafoelenco"/>
        <w:numPr>
          <w:ilvl w:val="0"/>
          <w:numId w:val="3"/>
        </w:numPr>
        <w:ind w:left="426"/>
      </w:pPr>
      <w:r>
        <w:t>Le disuguaglianze etniche.</w:t>
      </w:r>
    </w:p>
    <w:p w14:paraId="619734A7" w14:textId="77777777" w:rsidR="00360318" w:rsidRDefault="00360318" w:rsidP="00360318">
      <w:pPr>
        <w:pStyle w:val="Paragrafoelenco"/>
        <w:numPr>
          <w:ilvl w:val="0"/>
          <w:numId w:val="3"/>
        </w:numPr>
        <w:ind w:left="284" w:hanging="218"/>
      </w:pPr>
      <w:r>
        <w:t xml:space="preserve">La mobilità sociale discendente: vulnerabilità, marginalità, </w:t>
      </w:r>
      <w:proofErr w:type="spellStart"/>
      <w:r w:rsidRPr="006816AE">
        <w:rPr>
          <w:i/>
        </w:rPr>
        <w:t>désaffiliation</w:t>
      </w:r>
      <w:proofErr w:type="spellEnd"/>
      <w:r>
        <w:t>, impoverimento. Le classi sociali e la povertà in Italia.</w:t>
      </w:r>
    </w:p>
    <w:p w14:paraId="00CBCDE1" w14:textId="77777777" w:rsidR="00360318" w:rsidRDefault="00360318" w:rsidP="00360318">
      <w:pPr>
        <w:pStyle w:val="Paragrafoelenco"/>
        <w:numPr>
          <w:ilvl w:val="0"/>
          <w:numId w:val="3"/>
        </w:numPr>
        <w:ind w:left="284"/>
      </w:pPr>
      <w:r w:rsidRPr="00E727CA">
        <w:t xml:space="preserve">Paradigmi sociologici di interpretazione </w:t>
      </w:r>
      <w:r>
        <w:t>della disabilità e il modello multidimensionale.</w:t>
      </w:r>
    </w:p>
    <w:p w14:paraId="25A5D0BC" w14:textId="77777777" w:rsidR="00360318" w:rsidRPr="00133FF6" w:rsidRDefault="00360318" w:rsidP="00360318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i/>
        </w:rPr>
      </w:pPr>
      <w:r>
        <w:t>L’identità sociale e lo stigma (verso i soggetti marginali o con disabilità).</w:t>
      </w:r>
    </w:p>
    <w:p w14:paraId="65458547" w14:textId="3256E28A" w:rsidR="00B0226B" w:rsidRPr="00B0226B" w:rsidRDefault="00360318" w:rsidP="00B0226B">
      <w:pPr>
        <w:spacing w:before="120"/>
      </w:pPr>
      <w:r w:rsidRPr="00E727CA">
        <w:t>2.</w:t>
      </w:r>
      <w:r w:rsidRPr="00E727CA">
        <w:tab/>
      </w:r>
      <w:r w:rsidR="0067155D">
        <w:rPr>
          <w:i/>
        </w:rPr>
        <w:t xml:space="preserve">La ricerca sociale sulla </w:t>
      </w:r>
      <w:r w:rsidR="00404E2D">
        <w:rPr>
          <w:i/>
        </w:rPr>
        <w:t>marginalità:</w:t>
      </w:r>
      <w:r w:rsidR="00C97CDF">
        <w:rPr>
          <w:i/>
        </w:rPr>
        <w:t xml:space="preserve"> percorsi a tema </w:t>
      </w:r>
      <w:r w:rsidR="00B0226B">
        <w:t>(a scelta)</w:t>
      </w:r>
    </w:p>
    <w:p w14:paraId="3716D6FD" w14:textId="77777777" w:rsidR="00C97CDF" w:rsidRDefault="00C97CDF" w:rsidP="00B0226B">
      <w:pPr>
        <w:pStyle w:val="Paragrafoelenco"/>
        <w:numPr>
          <w:ilvl w:val="0"/>
          <w:numId w:val="7"/>
        </w:numPr>
        <w:spacing w:before="120"/>
      </w:pPr>
      <w:r>
        <w:t xml:space="preserve">Dal pregiudizio etnico ai processi di </w:t>
      </w:r>
      <w:proofErr w:type="spellStart"/>
      <w:r>
        <w:t>razializzazione</w:t>
      </w:r>
      <w:proofErr w:type="spellEnd"/>
      <w:r w:rsidR="00865A4F">
        <w:t xml:space="preserve"> in USA e in Europa</w:t>
      </w:r>
    </w:p>
    <w:p w14:paraId="02427025" w14:textId="77777777" w:rsidR="00714319" w:rsidRDefault="00865A4F" w:rsidP="00C97CDF">
      <w:pPr>
        <w:pStyle w:val="Paragrafoelenco"/>
        <w:numPr>
          <w:ilvl w:val="0"/>
          <w:numId w:val="6"/>
        </w:numPr>
      </w:pPr>
      <w:r>
        <w:t xml:space="preserve">Dall’istituzionalizzazione alla segregazione </w:t>
      </w:r>
      <w:r w:rsidR="00360318">
        <w:t>delle person</w:t>
      </w:r>
      <w:r>
        <w:t xml:space="preserve">e </w:t>
      </w:r>
      <w:r w:rsidR="00714319">
        <w:t>(con focus sul mondo carcerario)</w:t>
      </w:r>
    </w:p>
    <w:p w14:paraId="49D4F2D0" w14:textId="77777777" w:rsidR="00974629" w:rsidRDefault="00974629" w:rsidP="00C97CDF">
      <w:pPr>
        <w:pStyle w:val="Paragrafoelenco"/>
        <w:numPr>
          <w:ilvl w:val="0"/>
          <w:numId w:val="6"/>
        </w:numPr>
      </w:pPr>
      <w:r>
        <w:t>La sicurezza urbana e la marginalità come “minaccia</w:t>
      </w:r>
      <w:r w:rsidR="00F60D92">
        <w:t xml:space="preserve"> sociale</w:t>
      </w:r>
      <w:r>
        <w:t>”</w:t>
      </w:r>
    </w:p>
    <w:p w14:paraId="0973F853" w14:textId="77777777" w:rsidR="00865A4F" w:rsidRPr="00E727CA" w:rsidRDefault="005B6D2F" w:rsidP="00C97CDF">
      <w:pPr>
        <w:pStyle w:val="Paragrafoelenco"/>
        <w:numPr>
          <w:ilvl w:val="0"/>
          <w:numId w:val="6"/>
        </w:numPr>
      </w:pPr>
      <w:r>
        <w:t>Il rischio di caduta in povertà : d</w:t>
      </w:r>
      <w:r w:rsidR="00865A4F">
        <w:t>all</w:t>
      </w:r>
      <w:r>
        <w:t xml:space="preserve">a vulnerabilità all’esclusione </w:t>
      </w:r>
    </w:p>
    <w:p w14:paraId="410A3BB4" w14:textId="50D91FE4" w:rsidR="00360318" w:rsidRPr="009619E9" w:rsidRDefault="00360318" w:rsidP="009619E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4E4DFE">
        <w:rPr>
          <w:rStyle w:val="Rimandonotaapidipagina"/>
          <w:b/>
          <w:i/>
          <w:sz w:val="18"/>
        </w:rPr>
        <w:footnoteReference w:id="1"/>
      </w:r>
    </w:p>
    <w:p w14:paraId="40A14108" w14:textId="77777777" w:rsidR="00360318" w:rsidRPr="00360318" w:rsidRDefault="00360318" w:rsidP="00360318">
      <w:pPr>
        <w:pStyle w:val="Testo1"/>
      </w:pPr>
      <w:r w:rsidRPr="00360318">
        <w:t>Per il punto 1:</w:t>
      </w:r>
    </w:p>
    <w:p w14:paraId="0548A52E" w14:textId="10C3334C" w:rsidR="00360318" w:rsidRPr="004E4DFE" w:rsidRDefault="00360318" w:rsidP="004E4DFE">
      <w:r w:rsidRPr="00F02758">
        <w:rPr>
          <w:smallCaps/>
          <w:spacing w:val="-5"/>
          <w:sz w:val="14"/>
        </w:rPr>
        <w:t>L</w:t>
      </w:r>
      <w:r w:rsidRPr="00F02758">
        <w:rPr>
          <w:smallCaps/>
          <w:spacing w:val="-5"/>
          <w:sz w:val="16"/>
          <w:szCs w:val="18"/>
        </w:rPr>
        <w:t>. Zanfrini</w:t>
      </w:r>
      <w:r w:rsidRPr="00B0226B">
        <w:rPr>
          <w:smallCaps/>
          <w:spacing w:val="-5"/>
          <w:szCs w:val="18"/>
        </w:rPr>
        <w:t>,</w:t>
      </w:r>
      <w:r w:rsidRPr="00B0226B">
        <w:rPr>
          <w:i/>
          <w:spacing w:val="-5"/>
          <w:szCs w:val="18"/>
        </w:rPr>
        <w:t xml:space="preserve"> Sociologia delle differenze e delle disuguaglianze,</w:t>
      </w:r>
      <w:r w:rsidRPr="00B0226B">
        <w:rPr>
          <w:spacing w:val="-5"/>
          <w:szCs w:val="18"/>
        </w:rPr>
        <w:t xml:space="preserve"> Zanichelli, Bologna, 2011 (limitatamente a: parte I (tutta), parte II (etnia) (pp. 117-138) , parte III capp. 1 (istruzione) (pp. 157-178), 2 (lavoro) (pp. 179-196), 6 (welfare) (pp. 257-276).</w:t>
      </w:r>
      <w:r w:rsidR="004E4DFE" w:rsidRPr="004E4DFE">
        <w:rPr>
          <w:i/>
          <w:sz w:val="16"/>
          <w:szCs w:val="16"/>
        </w:rPr>
        <w:t xml:space="preserve"> </w:t>
      </w:r>
      <w:hyperlink r:id="rId9" w:history="1">
        <w:r w:rsidR="004E4DFE" w:rsidRPr="004E4DF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EF57DF2" w14:textId="77777777" w:rsidR="00360318" w:rsidRPr="00B0226B" w:rsidRDefault="009619E9" w:rsidP="00360318">
      <w:pPr>
        <w:pStyle w:val="Testo1"/>
        <w:spacing w:before="0" w:line="240" w:lineRule="atLeast"/>
        <w:rPr>
          <w:spacing w:val="-5"/>
          <w:szCs w:val="18"/>
        </w:rPr>
      </w:pPr>
      <w:r w:rsidRPr="00F02758">
        <w:rPr>
          <w:smallCaps/>
          <w:spacing w:val="-5"/>
          <w:sz w:val="16"/>
          <w:szCs w:val="18"/>
        </w:rPr>
        <w:t>G. Giarelli</w:t>
      </w:r>
      <w:r w:rsidR="00360318" w:rsidRPr="00B0226B">
        <w:rPr>
          <w:smallCaps/>
          <w:spacing w:val="-5"/>
          <w:szCs w:val="18"/>
        </w:rPr>
        <w:t>,</w:t>
      </w:r>
      <w:r w:rsidR="00360318" w:rsidRPr="00B0226B">
        <w:rPr>
          <w:i/>
          <w:spacing w:val="-5"/>
          <w:szCs w:val="18"/>
        </w:rPr>
        <w:t xml:space="preserve"> Modelli esplicativi delle disuguaglianze di salute: una riflessione sociologica,</w:t>
      </w:r>
      <w:r w:rsidR="00360318" w:rsidRPr="00B0226B">
        <w:rPr>
          <w:spacing w:val="-5"/>
          <w:szCs w:val="18"/>
        </w:rPr>
        <w:t xml:space="preserve"> in “Salute e Società”,</w:t>
      </w:r>
      <w:r w:rsidR="003D03BF">
        <w:rPr>
          <w:spacing w:val="-5"/>
          <w:szCs w:val="18"/>
        </w:rPr>
        <w:t xml:space="preserve"> a. VIII, n. 1, 2009, pp. 19-30 (saggio fornito su Bb).</w:t>
      </w:r>
    </w:p>
    <w:p w14:paraId="3AED9B82" w14:textId="77777777" w:rsidR="00360318" w:rsidRPr="00B0226B" w:rsidRDefault="00360318" w:rsidP="00360318">
      <w:pPr>
        <w:pStyle w:val="Testo1"/>
        <w:spacing w:before="0" w:line="240" w:lineRule="atLeast"/>
        <w:rPr>
          <w:spacing w:val="-5"/>
          <w:szCs w:val="18"/>
        </w:rPr>
      </w:pPr>
      <w:r w:rsidRPr="00F02758">
        <w:rPr>
          <w:smallCaps/>
          <w:spacing w:val="-5"/>
          <w:sz w:val="16"/>
          <w:szCs w:val="18"/>
        </w:rPr>
        <w:t>A. Pretto</w:t>
      </w:r>
      <w:r w:rsidRPr="00B0226B">
        <w:rPr>
          <w:smallCaps/>
          <w:spacing w:val="-5"/>
          <w:szCs w:val="18"/>
        </w:rPr>
        <w:t>,</w:t>
      </w:r>
      <w:r w:rsidRPr="00B0226B">
        <w:rPr>
          <w:i/>
          <w:spacing w:val="-5"/>
          <w:szCs w:val="18"/>
        </w:rPr>
        <w:t xml:space="preserve"> Disability is part of the human condition,</w:t>
      </w:r>
      <w:r w:rsidRPr="00B0226B">
        <w:rPr>
          <w:spacing w:val="-5"/>
          <w:szCs w:val="18"/>
        </w:rPr>
        <w:t xml:space="preserve"> in </w:t>
      </w:r>
      <w:r w:rsidRPr="00B0226B">
        <w:rPr>
          <w:smallCaps/>
          <w:spacing w:val="-5"/>
          <w:szCs w:val="18"/>
        </w:rPr>
        <w:t>Id.,</w:t>
      </w:r>
      <w:r w:rsidRPr="00B0226B">
        <w:rPr>
          <w:spacing w:val="-5"/>
          <w:szCs w:val="18"/>
        </w:rPr>
        <w:t xml:space="preserve"> </w:t>
      </w:r>
      <w:r w:rsidRPr="00B0226B">
        <w:rPr>
          <w:i/>
          <w:spacing w:val="-5"/>
          <w:szCs w:val="18"/>
        </w:rPr>
        <w:t>Prigionieri di una diagnosi. Punti di vista sulla disabilità</w:t>
      </w:r>
      <w:r w:rsidRPr="00B0226B">
        <w:rPr>
          <w:spacing w:val="-5"/>
          <w:szCs w:val="18"/>
        </w:rPr>
        <w:t>, Libreria Universitaria.it, Padova, 2016 (</w:t>
      </w:r>
      <w:r w:rsidR="003D03BF">
        <w:rPr>
          <w:spacing w:val="-5"/>
          <w:szCs w:val="18"/>
        </w:rPr>
        <w:t>solo capitolo primo, pp. 19-34) (saggio fornito su Bb).</w:t>
      </w:r>
    </w:p>
    <w:p w14:paraId="4873A7F6" w14:textId="77777777" w:rsidR="00360318" w:rsidRPr="00360318" w:rsidRDefault="009619E9" w:rsidP="00360318">
      <w:pPr>
        <w:pStyle w:val="Testo1"/>
        <w:spacing w:before="0" w:line="240" w:lineRule="atLeast"/>
        <w:rPr>
          <w:spacing w:val="-5"/>
        </w:rPr>
      </w:pPr>
      <w:r w:rsidRPr="00F02758">
        <w:rPr>
          <w:rFonts w:ascii="Times New Roman" w:hAnsi="Times New Roman"/>
          <w:smallCaps/>
          <w:spacing w:val="-5"/>
          <w:sz w:val="16"/>
          <w:szCs w:val="18"/>
        </w:rPr>
        <w:t>L. Battilocchi</w:t>
      </w:r>
      <w:r w:rsidR="00360318" w:rsidRPr="00B0226B">
        <w:rPr>
          <w:rFonts w:ascii="Times New Roman" w:hAnsi="Times New Roman"/>
          <w:smallCaps/>
          <w:spacing w:val="-5"/>
          <w:szCs w:val="18"/>
        </w:rPr>
        <w:t>,</w:t>
      </w:r>
      <w:r w:rsidR="00360318" w:rsidRPr="00B0226B">
        <w:rPr>
          <w:rFonts w:ascii="Times New Roman" w:hAnsi="Times New Roman"/>
          <w:i/>
          <w:spacing w:val="-5"/>
          <w:szCs w:val="18"/>
        </w:rPr>
        <w:t xml:space="preserve"> </w:t>
      </w:r>
      <w:r w:rsidR="00B0226B" w:rsidRPr="00B0226B">
        <w:rPr>
          <w:rFonts w:ascii="Times New Roman" w:hAnsi="Times New Roman"/>
          <w:i/>
          <w:szCs w:val="18"/>
        </w:rPr>
        <w:t>Povertà, legami e risorse relazionali</w:t>
      </w:r>
      <w:r w:rsidR="00360318" w:rsidRPr="00B0226B">
        <w:rPr>
          <w:rFonts w:ascii="Times New Roman" w:hAnsi="Times New Roman"/>
          <w:i/>
          <w:spacing w:val="-5"/>
          <w:szCs w:val="18"/>
        </w:rPr>
        <w:t>,</w:t>
      </w:r>
      <w:r w:rsidR="00360318" w:rsidRPr="00B0226B">
        <w:rPr>
          <w:rFonts w:ascii="Times New Roman" w:hAnsi="Times New Roman"/>
          <w:spacing w:val="-5"/>
          <w:szCs w:val="18"/>
        </w:rPr>
        <w:t xml:space="preserve"> in</w:t>
      </w:r>
      <w:r w:rsidR="00360318" w:rsidRPr="00B0226B">
        <w:rPr>
          <w:spacing w:val="-5"/>
        </w:rPr>
        <w:t xml:space="preserve"> </w:t>
      </w:r>
      <w:r w:rsidR="00B0226B" w:rsidRPr="00B0226B">
        <w:rPr>
          <w:rFonts w:ascii="Times New Roman" w:hAnsi="Times New Roman"/>
          <w:smallCaps/>
          <w:szCs w:val="16"/>
        </w:rPr>
        <w:t>P. Rizzi – M. Magnaschi (</w:t>
      </w:r>
      <w:r w:rsidR="00B0226B" w:rsidRPr="00B0226B">
        <w:rPr>
          <w:rFonts w:ascii="Times New Roman" w:hAnsi="Times New Roman"/>
          <w:szCs w:val="16"/>
        </w:rPr>
        <w:t xml:space="preserve">a cura di), </w:t>
      </w:r>
      <w:r w:rsidR="00B0226B" w:rsidRPr="00B0226B">
        <w:rPr>
          <w:rFonts w:ascii="Times New Roman" w:hAnsi="Times New Roman"/>
          <w:i/>
          <w:szCs w:val="16"/>
        </w:rPr>
        <w:t>La</w:t>
      </w:r>
      <w:r w:rsidR="00B0226B" w:rsidRPr="00B0226B">
        <w:rPr>
          <w:rFonts w:ascii="Times New Roman" w:hAnsi="Times New Roman"/>
          <w:szCs w:val="16"/>
        </w:rPr>
        <w:t xml:space="preserve"> </w:t>
      </w:r>
      <w:r w:rsidR="00B0226B" w:rsidRPr="00B0226B">
        <w:rPr>
          <w:rFonts w:ascii="Times New Roman" w:hAnsi="Times New Roman"/>
          <w:i/>
          <w:szCs w:val="16"/>
        </w:rPr>
        <w:t>città in controluce. Volti, legami, storie di povertà a Piacenza</w:t>
      </w:r>
      <w:r w:rsidR="00B0226B" w:rsidRPr="00B0226B">
        <w:rPr>
          <w:rFonts w:ascii="Times New Roman" w:hAnsi="Times New Roman"/>
          <w:szCs w:val="16"/>
        </w:rPr>
        <w:t>, Educatt, Milano, 2017</w:t>
      </w:r>
      <w:r w:rsidR="00360318" w:rsidRPr="00B0226B">
        <w:rPr>
          <w:spacing w:val="-5"/>
        </w:rPr>
        <w:t xml:space="preserve">, pp. </w:t>
      </w:r>
      <w:r w:rsidR="00B0226B">
        <w:rPr>
          <w:spacing w:val="-5"/>
        </w:rPr>
        <w:t>17-32</w:t>
      </w:r>
      <w:r w:rsidR="003D03BF">
        <w:rPr>
          <w:spacing w:val="-5"/>
        </w:rPr>
        <w:t xml:space="preserve"> </w:t>
      </w:r>
      <w:r w:rsidR="003D03BF">
        <w:rPr>
          <w:spacing w:val="-5"/>
          <w:szCs w:val="18"/>
        </w:rPr>
        <w:t>(saggio fornito su Bb)</w:t>
      </w:r>
      <w:r w:rsidR="00360318" w:rsidRPr="00B0226B">
        <w:rPr>
          <w:spacing w:val="-5"/>
        </w:rPr>
        <w:t>.</w:t>
      </w:r>
    </w:p>
    <w:p w14:paraId="17FF6B20" w14:textId="77777777" w:rsidR="00877495" w:rsidRDefault="00877495" w:rsidP="00360318">
      <w:pPr>
        <w:pStyle w:val="Testo1"/>
      </w:pPr>
    </w:p>
    <w:p w14:paraId="3CBD6D89" w14:textId="77777777" w:rsidR="00360318" w:rsidRPr="00360318" w:rsidRDefault="00360318" w:rsidP="00360318">
      <w:pPr>
        <w:pStyle w:val="Testo1"/>
      </w:pPr>
      <w:r w:rsidRPr="00360318">
        <w:t>Per il punto 2</w:t>
      </w:r>
      <w:r w:rsidR="0047409A">
        <w:t>, un testo a scelta tra</w:t>
      </w:r>
      <w:r w:rsidRPr="00360318">
        <w:t>:</w:t>
      </w:r>
    </w:p>
    <w:p w14:paraId="4A20027A" w14:textId="77777777" w:rsidR="00B0226B" w:rsidRDefault="00B0226B" w:rsidP="00B0226B">
      <w:pPr>
        <w:pStyle w:val="Testo1"/>
        <w:spacing w:before="0" w:line="240" w:lineRule="atLeast"/>
        <w:rPr>
          <w:spacing w:val="-5"/>
        </w:rPr>
      </w:pPr>
      <w:r w:rsidRPr="00F02758">
        <w:rPr>
          <w:smallCaps/>
          <w:spacing w:val="-5"/>
          <w:sz w:val="16"/>
        </w:rPr>
        <w:t>G.  gilardoni</w:t>
      </w:r>
      <w:r w:rsidRPr="0047409A">
        <w:rPr>
          <w:smallCaps/>
          <w:spacing w:val="-5"/>
        </w:rPr>
        <w:t xml:space="preserve">, </w:t>
      </w:r>
      <w:r w:rsidR="00576AD4">
        <w:rPr>
          <w:i/>
          <w:spacing w:val="-5"/>
        </w:rPr>
        <w:t>Razzismo situato. Ragioni</w:t>
      </w:r>
      <w:r w:rsidRPr="0047409A">
        <w:rPr>
          <w:i/>
          <w:spacing w:val="-5"/>
        </w:rPr>
        <w:t xml:space="preserve"> storiche, culturali ed etiche per contrastarlo, </w:t>
      </w:r>
      <w:r>
        <w:rPr>
          <w:spacing w:val="-5"/>
        </w:rPr>
        <w:t>Vita e Pnesiero, Milano, 2021.</w:t>
      </w:r>
    </w:p>
    <w:p w14:paraId="490BD6C4" w14:textId="5AA111C0" w:rsidR="00B44211" w:rsidRPr="004E4DFE" w:rsidRDefault="00B44211" w:rsidP="004E4DFE">
      <w:r w:rsidRPr="00F02758">
        <w:rPr>
          <w:smallCaps/>
          <w:spacing w:val="-5"/>
          <w:sz w:val="16"/>
        </w:rPr>
        <w:t>S Padovano</w:t>
      </w:r>
      <w:r>
        <w:rPr>
          <w:spacing w:val="-5"/>
        </w:rPr>
        <w:t xml:space="preserve">, </w:t>
      </w:r>
      <w:r>
        <w:rPr>
          <w:i/>
          <w:spacing w:val="-5"/>
        </w:rPr>
        <w:t xml:space="preserve">La sicurezza urbana: da concetto equivoco a inganno, </w:t>
      </w:r>
      <w:r>
        <w:rPr>
          <w:spacing w:val="-5"/>
        </w:rPr>
        <w:t>Meltemi, Milano, 2021.</w:t>
      </w:r>
      <w:r w:rsidR="004E4DFE" w:rsidRPr="004E4DFE">
        <w:rPr>
          <w:i/>
          <w:sz w:val="16"/>
          <w:szCs w:val="16"/>
        </w:rPr>
        <w:t xml:space="preserve"> </w:t>
      </w:r>
      <w:hyperlink r:id="rId10" w:history="1">
        <w:r w:rsidR="004E4DFE" w:rsidRPr="004E4DF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63AEBE0" w14:textId="77777777" w:rsidR="00B0226B" w:rsidRDefault="00B44211" w:rsidP="00360318">
      <w:pPr>
        <w:pStyle w:val="Testo1"/>
        <w:spacing w:before="0" w:line="240" w:lineRule="atLeast"/>
        <w:rPr>
          <w:rFonts w:ascii="Times New Roman" w:hAnsi="Times New Roman"/>
          <w:sz w:val="16"/>
          <w:szCs w:val="16"/>
        </w:rPr>
      </w:pPr>
      <w:r w:rsidRPr="00F02758">
        <w:rPr>
          <w:rFonts w:ascii="Times New Roman" w:hAnsi="Times New Roman"/>
          <w:smallCaps/>
          <w:sz w:val="16"/>
          <w:szCs w:val="16"/>
        </w:rPr>
        <w:t xml:space="preserve">p. rizzi – m. magnaschi </w:t>
      </w:r>
      <w:r w:rsidR="00B0226B" w:rsidRPr="00B0226B">
        <w:rPr>
          <w:rFonts w:ascii="Times New Roman" w:hAnsi="Times New Roman"/>
          <w:smallCaps/>
          <w:szCs w:val="16"/>
        </w:rPr>
        <w:t>(</w:t>
      </w:r>
      <w:r w:rsidR="00B0226B" w:rsidRPr="00B0226B">
        <w:rPr>
          <w:rFonts w:ascii="Times New Roman" w:hAnsi="Times New Roman"/>
          <w:szCs w:val="16"/>
        </w:rPr>
        <w:t xml:space="preserve">a cura di), </w:t>
      </w:r>
      <w:r w:rsidR="00B0226B" w:rsidRPr="00B0226B">
        <w:rPr>
          <w:rFonts w:ascii="Times New Roman" w:hAnsi="Times New Roman"/>
          <w:i/>
          <w:szCs w:val="16"/>
        </w:rPr>
        <w:t>La</w:t>
      </w:r>
      <w:r w:rsidR="00B0226B" w:rsidRPr="00B0226B">
        <w:rPr>
          <w:rFonts w:ascii="Times New Roman" w:hAnsi="Times New Roman"/>
          <w:szCs w:val="16"/>
        </w:rPr>
        <w:t xml:space="preserve"> </w:t>
      </w:r>
      <w:r w:rsidR="00B0226B" w:rsidRPr="00B0226B">
        <w:rPr>
          <w:rFonts w:ascii="Times New Roman" w:hAnsi="Times New Roman"/>
          <w:i/>
          <w:szCs w:val="16"/>
        </w:rPr>
        <w:t>città in controluce. Volti, legami, storie di povertà a Piacenza</w:t>
      </w:r>
      <w:r w:rsidR="00B0226B" w:rsidRPr="00B0226B">
        <w:rPr>
          <w:rFonts w:ascii="Times New Roman" w:hAnsi="Times New Roman"/>
          <w:szCs w:val="16"/>
        </w:rPr>
        <w:t>, Educatt, Milano, 20</w:t>
      </w:r>
      <w:r w:rsidR="00B0226B">
        <w:rPr>
          <w:rFonts w:ascii="Times New Roman" w:hAnsi="Times New Roman"/>
          <w:szCs w:val="16"/>
        </w:rPr>
        <w:t>17</w:t>
      </w:r>
      <w:r w:rsidR="00B0226B">
        <w:rPr>
          <w:rFonts w:ascii="Times New Roman" w:hAnsi="Times New Roman"/>
          <w:sz w:val="16"/>
          <w:szCs w:val="16"/>
        </w:rPr>
        <w:t>.</w:t>
      </w:r>
    </w:p>
    <w:p w14:paraId="7D77E5EF" w14:textId="77777777" w:rsidR="00974629" w:rsidRPr="00974629" w:rsidRDefault="00974629" w:rsidP="00360318">
      <w:pPr>
        <w:pStyle w:val="Testo1"/>
        <w:spacing w:before="0" w:line="240" w:lineRule="atLeast"/>
        <w:rPr>
          <w:rFonts w:ascii="Times New Roman" w:hAnsi="Times New Roman"/>
          <w:spacing w:val="-5"/>
          <w:sz w:val="16"/>
          <w:szCs w:val="16"/>
        </w:rPr>
      </w:pPr>
      <w:r w:rsidRPr="00974629">
        <w:rPr>
          <w:rFonts w:ascii="Times New Roman" w:hAnsi="Times New Roman"/>
          <w:szCs w:val="16"/>
        </w:rPr>
        <w:t>(</w:t>
      </w:r>
      <w:r>
        <w:rPr>
          <w:rFonts w:ascii="Times New Roman" w:hAnsi="Times New Roman"/>
          <w:szCs w:val="16"/>
        </w:rPr>
        <w:t>P</w:t>
      </w:r>
      <w:r w:rsidRPr="00974629">
        <w:rPr>
          <w:rFonts w:ascii="Times New Roman" w:hAnsi="Times New Roman"/>
          <w:szCs w:val="16"/>
        </w:rPr>
        <w:t>revio accordo con la docente</w:t>
      </w:r>
      <w:r>
        <w:rPr>
          <w:rFonts w:ascii="Times New Roman" w:hAnsi="Times New Roman"/>
          <w:szCs w:val="16"/>
        </w:rPr>
        <w:t xml:space="preserve">, potrà </w:t>
      </w:r>
      <w:r w:rsidRPr="00974629">
        <w:rPr>
          <w:rFonts w:ascii="Times New Roman" w:hAnsi="Times New Roman"/>
          <w:szCs w:val="16"/>
        </w:rPr>
        <w:t>essere portat</w:t>
      </w:r>
      <w:r>
        <w:rPr>
          <w:rFonts w:ascii="Times New Roman" w:hAnsi="Times New Roman"/>
          <w:szCs w:val="16"/>
        </w:rPr>
        <w:t>o all’esame un altro</w:t>
      </w:r>
      <w:r w:rsidRPr="00974629">
        <w:rPr>
          <w:rFonts w:ascii="Times New Roman" w:hAnsi="Times New Roman"/>
          <w:szCs w:val="16"/>
        </w:rPr>
        <w:t xml:space="preserve"> volum</w:t>
      </w:r>
      <w:r>
        <w:rPr>
          <w:rFonts w:ascii="Times New Roman" w:hAnsi="Times New Roman"/>
          <w:szCs w:val="16"/>
        </w:rPr>
        <w:t>e</w:t>
      </w:r>
      <w:r w:rsidRPr="00974629">
        <w:rPr>
          <w:rFonts w:ascii="Times New Roman" w:hAnsi="Times New Roman"/>
          <w:szCs w:val="16"/>
        </w:rPr>
        <w:t xml:space="preserve"> “a scelta” </w:t>
      </w:r>
      <w:r>
        <w:rPr>
          <w:rFonts w:ascii="Times New Roman" w:hAnsi="Times New Roman"/>
          <w:szCs w:val="16"/>
        </w:rPr>
        <w:t>non compreso in questo elenco</w:t>
      </w:r>
      <w:r w:rsidRPr="00974629">
        <w:rPr>
          <w:rFonts w:ascii="Times New Roman" w:hAnsi="Times New Roman"/>
          <w:szCs w:val="16"/>
        </w:rPr>
        <w:t>)</w:t>
      </w:r>
      <w:r>
        <w:rPr>
          <w:rFonts w:ascii="Times New Roman" w:hAnsi="Times New Roman"/>
          <w:szCs w:val="16"/>
        </w:rPr>
        <w:t>.</w:t>
      </w:r>
    </w:p>
    <w:p w14:paraId="7BBD01CC" w14:textId="77777777" w:rsidR="00360318" w:rsidRPr="00360318" w:rsidRDefault="00360318" w:rsidP="00360318">
      <w:pPr>
        <w:pStyle w:val="Testo1"/>
      </w:pPr>
      <w:r w:rsidRPr="00360318">
        <w:t>Una bibliografia di approfondimento</w:t>
      </w:r>
      <w:r w:rsidR="00146ADA">
        <w:t xml:space="preserve"> verrà fornita durante il corso</w:t>
      </w:r>
      <w:r w:rsidR="00146ADA" w:rsidRPr="006D3BA6">
        <w:t>, con avvisi sia in aula sia su Blackboard.</w:t>
      </w:r>
    </w:p>
    <w:p w14:paraId="1CFAF89B" w14:textId="77777777" w:rsidR="00360318" w:rsidRDefault="00360318" w:rsidP="003603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2011C5" w14:textId="77777777" w:rsidR="00360318" w:rsidRPr="004203C9" w:rsidRDefault="00360318" w:rsidP="00360318">
      <w:pPr>
        <w:pStyle w:val="Testo2"/>
      </w:pPr>
      <w:r w:rsidRPr="004203C9">
        <w:t xml:space="preserve">Il corso si sviluppa in unità didattiche con materiali di studio che saranno resi disponibili </w:t>
      </w:r>
      <w:r w:rsidRPr="004203C9">
        <w:rPr>
          <w:i/>
        </w:rPr>
        <w:t>on line</w:t>
      </w:r>
      <w:r w:rsidRPr="004203C9">
        <w:t xml:space="preserve"> sulla piattaforma Blackboard. Le slides costituiranno, insieme ai saggi obbligatori, parte integrante dei materiali per l’esame. Durante il corso potranno essere organizzate letture critiche</w:t>
      </w:r>
      <w:r>
        <w:t xml:space="preserve">, </w:t>
      </w:r>
      <w:r w:rsidR="00146ADA">
        <w:t xml:space="preserve">seminari e </w:t>
      </w:r>
      <w:r w:rsidR="00146ADA" w:rsidRPr="00146ADA">
        <w:t>lezioni aperte</w:t>
      </w:r>
      <w:r w:rsidRPr="004203C9">
        <w:t>.</w:t>
      </w:r>
    </w:p>
    <w:p w14:paraId="6056ACFF" w14:textId="77777777" w:rsidR="00360318" w:rsidRDefault="00360318" w:rsidP="003603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837AB31" w14:textId="77777777" w:rsidR="00360318" w:rsidRPr="00360318" w:rsidRDefault="00360318" w:rsidP="00360318">
      <w:pPr>
        <w:pStyle w:val="Testo2"/>
      </w:pPr>
      <w:r w:rsidRPr="00360318">
        <w:lastRenderedPageBreak/>
        <w:t xml:space="preserve">L’esame </w:t>
      </w:r>
      <w:r w:rsidR="009619E9">
        <w:t>consiste in una prova orale sui</w:t>
      </w:r>
      <w:r w:rsidRPr="00360318">
        <w:t xml:space="preserve"> punti 1 e 2 del programma. Sarà richiesto allo studente di esporre ragionamenti sulle cause e gli effetti delle disuguaglianze nelle sfere sociali trattate in programma, sia con riferimento ad autori e concetti teorici, sia con esempi concreti. La comparazione tra concetti e la critica di approcci teorici è considerata tra le competenze da raggiungere, attraverso l’esame dei materiali suggeriti. </w:t>
      </w:r>
      <w:r w:rsidR="0067155D">
        <w:t>All’interno del</w:t>
      </w:r>
      <w:r w:rsidR="00B0226B">
        <w:t xml:space="preserve"> percorso tematico,  lo studente dovrà mostrarsi consapevole degli aspetti metodologici e delle conclusioni della ricerca. </w:t>
      </w:r>
      <w:r w:rsidRPr="00360318">
        <w:t>La valutazione terrà conto</w:t>
      </w:r>
      <w:r w:rsidR="003D03BF">
        <w:t xml:space="preserve"> di</w:t>
      </w:r>
      <w:r w:rsidRPr="00360318">
        <w:t>: uso della terminologia disciplinare; capacità analitica-descrittiva per l’esame dei concetti chiave; maturità interpretativa dei processi sociali oggetto del corso</w:t>
      </w:r>
      <w:r w:rsidR="004277DE">
        <w:t>;</w:t>
      </w:r>
      <w:r w:rsidRPr="00360318">
        <w:t xml:space="preserve"> uso corretto di fonti e dati.</w:t>
      </w:r>
    </w:p>
    <w:p w14:paraId="0AAF80F9" w14:textId="77777777" w:rsidR="00360318" w:rsidRDefault="00360318" w:rsidP="0036031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9F381D7" w14:textId="77777777" w:rsidR="00360318" w:rsidRPr="00360318" w:rsidRDefault="00360318" w:rsidP="00360318">
      <w:pPr>
        <w:pStyle w:val="Testo2"/>
      </w:pPr>
      <w:r w:rsidRPr="00360318">
        <w:t>Il corso presuppone alcune conoscenze sociologiche di base, in relazione ai concetti principali (società, gruppo, organizzazione, ruoli, sistema, st</w:t>
      </w:r>
      <w:r w:rsidR="009619E9">
        <w:t xml:space="preserve">ratificazione, disuguaglianza, </w:t>
      </w:r>
      <w:r w:rsidRPr="00360318">
        <w:t>integrazione, ecc.). Gli studenti che non hanno sostenuto esami preliminari di sociologia sono consigliati di utilizzare un Manuale di base della sociologia per comprendere tali concetti.</w:t>
      </w:r>
    </w:p>
    <w:p w14:paraId="5DC8BD1E" w14:textId="77777777" w:rsidR="00360318" w:rsidRPr="00360318" w:rsidRDefault="00360318" w:rsidP="00404E2D">
      <w:pPr>
        <w:pStyle w:val="Testo2"/>
        <w:spacing w:before="120"/>
        <w:rPr>
          <w:i/>
        </w:rPr>
      </w:pPr>
      <w:r w:rsidRPr="00360318">
        <w:rPr>
          <w:i/>
        </w:rPr>
        <w:t>Orario e luogo di ricevimento</w:t>
      </w:r>
    </w:p>
    <w:p w14:paraId="790C0196" w14:textId="77777777" w:rsidR="00360318" w:rsidRPr="00360318" w:rsidRDefault="009619E9" w:rsidP="00360318">
      <w:pPr>
        <w:pStyle w:val="Testo2"/>
      </w:pPr>
      <w:r>
        <w:t>Il</w:t>
      </w:r>
      <w:r w:rsidR="00360318" w:rsidRPr="00360318">
        <w:t xml:space="preserve"> Prof. Maddalena Colombo riceve gli studenti dopo le lezioni presso il Dipartimento di Sociologia. Nel secondo semestre su appuntamento. Per comunicazioni: tel. 02-72342346; e-mail: </w:t>
      </w:r>
      <w:bookmarkStart w:id="1" w:name="_Hlt137270594"/>
      <w:r w:rsidR="00360318" w:rsidRPr="009619E9">
        <w:rPr>
          <w:i/>
        </w:rPr>
        <w:t>maddalena.colombo@unicatt.it</w:t>
      </w:r>
      <w:bookmarkEnd w:id="1"/>
      <w:r w:rsidR="00360318" w:rsidRPr="00360318">
        <w:t>.</w:t>
      </w:r>
    </w:p>
    <w:sectPr w:rsidR="00360318" w:rsidRPr="0036031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9268" w14:textId="77777777" w:rsidR="004E4DFE" w:rsidRDefault="004E4DFE" w:rsidP="004E4DFE">
      <w:pPr>
        <w:spacing w:line="240" w:lineRule="auto"/>
      </w:pPr>
      <w:r>
        <w:separator/>
      </w:r>
    </w:p>
  </w:endnote>
  <w:endnote w:type="continuationSeparator" w:id="0">
    <w:p w14:paraId="79B7297D" w14:textId="77777777" w:rsidR="004E4DFE" w:rsidRDefault="004E4DFE" w:rsidP="004E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9E659" w14:textId="77777777" w:rsidR="004E4DFE" w:rsidRDefault="004E4DFE" w:rsidP="004E4DFE">
      <w:pPr>
        <w:spacing w:line="240" w:lineRule="auto"/>
      </w:pPr>
      <w:r>
        <w:separator/>
      </w:r>
    </w:p>
  </w:footnote>
  <w:footnote w:type="continuationSeparator" w:id="0">
    <w:p w14:paraId="63488E70" w14:textId="77777777" w:rsidR="004E4DFE" w:rsidRDefault="004E4DFE" w:rsidP="004E4DFE">
      <w:pPr>
        <w:spacing w:line="240" w:lineRule="auto"/>
      </w:pPr>
      <w:r>
        <w:continuationSeparator/>
      </w:r>
    </w:p>
  </w:footnote>
  <w:footnote w:id="1">
    <w:p w14:paraId="3AE5E01A" w14:textId="77777777" w:rsidR="004E4DFE" w:rsidRDefault="004E4DFE" w:rsidP="004E4D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4A956A7" w14:textId="1F3ECB45" w:rsidR="004E4DFE" w:rsidRDefault="004E4DF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A38"/>
    <w:multiLevelType w:val="hybridMultilevel"/>
    <w:tmpl w:val="43C2C704"/>
    <w:lvl w:ilvl="0" w:tplc="D41CAE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4F97"/>
    <w:multiLevelType w:val="hybridMultilevel"/>
    <w:tmpl w:val="014AC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522B"/>
    <w:multiLevelType w:val="hybridMultilevel"/>
    <w:tmpl w:val="CF322DD6"/>
    <w:lvl w:ilvl="0" w:tplc="1ECA7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B78CA"/>
    <w:multiLevelType w:val="hybridMultilevel"/>
    <w:tmpl w:val="EB22FA48"/>
    <w:lvl w:ilvl="0" w:tplc="BCF0D8C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33DA0"/>
    <w:multiLevelType w:val="hybridMultilevel"/>
    <w:tmpl w:val="D58843BA"/>
    <w:lvl w:ilvl="0" w:tplc="BCF0D8C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44C2A"/>
    <w:multiLevelType w:val="hybridMultilevel"/>
    <w:tmpl w:val="E55238FE"/>
    <w:lvl w:ilvl="0" w:tplc="D41CAE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B32C8"/>
    <w:multiLevelType w:val="hybridMultilevel"/>
    <w:tmpl w:val="4D7E5A64"/>
    <w:lvl w:ilvl="0" w:tplc="BCF0D8C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18"/>
    <w:rsid w:val="00146ADA"/>
    <w:rsid w:val="00187B99"/>
    <w:rsid w:val="002014DD"/>
    <w:rsid w:val="002D5E17"/>
    <w:rsid w:val="00360318"/>
    <w:rsid w:val="003D03BF"/>
    <w:rsid w:val="00404E2D"/>
    <w:rsid w:val="004277DE"/>
    <w:rsid w:val="0047409A"/>
    <w:rsid w:val="004D1217"/>
    <w:rsid w:val="004D6008"/>
    <w:rsid w:val="004E4DFE"/>
    <w:rsid w:val="00516A0F"/>
    <w:rsid w:val="00576AD4"/>
    <w:rsid w:val="005B6D2F"/>
    <w:rsid w:val="00640794"/>
    <w:rsid w:val="0067155D"/>
    <w:rsid w:val="006F1772"/>
    <w:rsid w:val="00714319"/>
    <w:rsid w:val="00865A4F"/>
    <w:rsid w:val="00877495"/>
    <w:rsid w:val="008942E7"/>
    <w:rsid w:val="008A1204"/>
    <w:rsid w:val="00900CCA"/>
    <w:rsid w:val="00924B77"/>
    <w:rsid w:val="00940DA2"/>
    <w:rsid w:val="009619E9"/>
    <w:rsid w:val="00974629"/>
    <w:rsid w:val="009E055C"/>
    <w:rsid w:val="00A157A7"/>
    <w:rsid w:val="00A74F6F"/>
    <w:rsid w:val="00AD7557"/>
    <w:rsid w:val="00B0226B"/>
    <w:rsid w:val="00B44211"/>
    <w:rsid w:val="00B50C5D"/>
    <w:rsid w:val="00B51253"/>
    <w:rsid w:val="00B525CC"/>
    <w:rsid w:val="00B54CDB"/>
    <w:rsid w:val="00C97CDF"/>
    <w:rsid w:val="00D00607"/>
    <w:rsid w:val="00D404F2"/>
    <w:rsid w:val="00E607E6"/>
    <w:rsid w:val="00F02758"/>
    <w:rsid w:val="00F6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09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60318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Enfasicorsivo">
    <w:name w:val="Emphasis"/>
    <w:basedOn w:val="Carpredefinitoparagrafo"/>
    <w:qFormat/>
    <w:rsid w:val="00360318"/>
    <w:rPr>
      <w:i/>
      <w:iCs/>
    </w:rPr>
  </w:style>
  <w:style w:type="paragraph" w:styleId="Testonotaapidipagina">
    <w:name w:val="footnote text"/>
    <w:basedOn w:val="Normale"/>
    <w:link w:val="TestonotaapidipaginaCarattere"/>
    <w:unhideWhenUsed/>
    <w:rsid w:val="004E4D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4DFE"/>
  </w:style>
  <w:style w:type="character" w:styleId="Rimandonotaapidipagina">
    <w:name w:val="footnote reference"/>
    <w:basedOn w:val="Carpredefinitoparagrafo"/>
    <w:semiHidden/>
    <w:unhideWhenUsed/>
    <w:rsid w:val="004E4DFE"/>
    <w:rPr>
      <w:vertAlign w:val="superscript"/>
    </w:rPr>
  </w:style>
  <w:style w:type="character" w:styleId="Collegamentoipertestuale">
    <w:name w:val="Hyperlink"/>
    <w:basedOn w:val="Carpredefinitoparagrafo"/>
    <w:unhideWhenUsed/>
    <w:rsid w:val="004E4D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60318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Enfasicorsivo">
    <w:name w:val="Emphasis"/>
    <w:basedOn w:val="Carpredefinitoparagrafo"/>
    <w:qFormat/>
    <w:rsid w:val="00360318"/>
    <w:rPr>
      <w:i/>
      <w:iCs/>
    </w:rPr>
  </w:style>
  <w:style w:type="paragraph" w:styleId="Testonotaapidipagina">
    <w:name w:val="footnote text"/>
    <w:basedOn w:val="Normale"/>
    <w:link w:val="TestonotaapidipaginaCarattere"/>
    <w:unhideWhenUsed/>
    <w:rsid w:val="004E4D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4DFE"/>
  </w:style>
  <w:style w:type="character" w:styleId="Rimandonotaapidipagina">
    <w:name w:val="footnote reference"/>
    <w:basedOn w:val="Carpredefinitoparagrafo"/>
    <w:semiHidden/>
    <w:unhideWhenUsed/>
    <w:rsid w:val="004E4DFE"/>
    <w:rPr>
      <w:vertAlign w:val="superscript"/>
    </w:rPr>
  </w:style>
  <w:style w:type="character" w:styleId="Collegamentoipertestuale">
    <w:name w:val="Hyperlink"/>
    <w:basedOn w:val="Carpredefinitoparagrafo"/>
    <w:unhideWhenUsed/>
    <w:rsid w:val="004E4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tefano-padovano/la-sicurezza-urbana-da-concetto-equivoco-a-inganno-9788855195089-6992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ociologia-delle-differenze-e-delle-disuguaglianze-9788808195197-1779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79E2-B419-46D8-8CFE-1DF5F4AC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774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2003-03-27T10:42:00Z</cp:lastPrinted>
  <dcterms:created xsi:type="dcterms:W3CDTF">2022-05-17T14:12:00Z</dcterms:created>
  <dcterms:modified xsi:type="dcterms:W3CDTF">2022-07-12T13:12:00Z</dcterms:modified>
</cp:coreProperties>
</file>