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D" w:rsidRPr="00024B22" w:rsidRDefault="00FE14BD" w:rsidP="00FE14BD">
      <w:pPr>
        <w:pStyle w:val="Titolo1"/>
      </w:pPr>
      <w:r w:rsidRPr="00024B22">
        <w:t>Matematica generale II</w:t>
      </w:r>
    </w:p>
    <w:p w:rsidR="00FE14BD" w:rsidRPr="00024B22" w:rsidRDefault="00FE14BD" w:rsidP="00FE14BD">
      <w:pPr>
        <w:pStyle w:val="Titolo2"/>
      </w:pPr>
      <w:r w:rsidRPr="00024B22">
        <w:t>Prof. Piera Mazzoleni; Prof. Paola Biffi</w:t>
      </w:r>
    </w:p>
    <w:p w:rsidR="002D5E17" w:rsidRDefault="00FE14BD" w:rsidP="00FE14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Il Corso si propone di c</w:t>
      </w:r>
      <w:r w:rsidRPr="00024B22">
        <w:rPr>
          <w:rFonts w:eastAsia="MS Mincho"/>
        </w:rPr>
        <w:t>ompletare la preparazione della matematica di base, offerta al pri</w:t>
      </w:r>
      <w:r>
        <w:rPr>
          <w:rFonts w:eastAsia="MS Mincho"/>
        </w:rPr>
        <w:t>mo anno, approfondendo lo studio</w:t>
      </w:r>
      <w:r w:rsidRPr="00024B22">
        <w:rPr>
          <w:rFonts w:eastAsia="MS Mincho"/>
        </w:rPr>
        <w:t xml:space="preserve"> di alcuni strumenti di calcolo particolarmente utili per un corso di studi </w:t>
      </w:r>
      <w:r>
        <w:rPr>
          <w:rFonts w:eastAsia="MS Mincho"/>
        </w:rPr>
        <w:t xml:space="preserve">che si rivolga a temi economici, finanziari e attuariali. 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onoscenza e comprensione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Gli studenti dovranno:</w:t>
      </w:r>
    </w:p>
    <w:p w:rsidR="00FE14BD" w:rsidRPr="009930F3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9930F3">
        <w:rPr>
          <w:rFonts w:eastAsia="MS Mincho"/>
        </w:rPr>
        <w:t>Approfondire gli strumenti quantitativi e riuscire a comprenderne le caratteristiche così da riconoscere il settore applicativo cui si riferiscono.</w:t>
      </w:r>
    </w:p>
    <w:p w:rsid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Imparare i metodi risolutivi per i diversi strumenti con particolare attenzione ai loro aspetti di flessibilità.</w:t>
      </w:r>
    </w:p>
    <w:p w:rsidR="00FE14BD" w:rsidRP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Acquisire la capacità di riconoscere e valutare le soluzioni ottenute.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apacit</w:t>
      </w:r>
      <w:r>
        <w:rPr>
          <w:rFonts w:eastAsia="MS Mincho"/>
          <w:i/>
        </w:rPr>
        <w:t>à</w:t>
      </w:r>
      <w:r w:rsidRPr="009930F3">
        <w:rPr>
          <w:rFonts w:eastAsia="MS Mincho"/>
          <w:i/>
        </w:rPr>
        <w:t xml:space="preserve"> di applicazione</w:t>
      </w:r>
    </w:p>
    <w:p w:rsidR="00FE14BD" w:rsidRPr="00024B22" w:rsidRDefault="00FE14BD" w:rsidP="00FE14BD">
      <w:pPr>
        <w:rPr>
          <w:rFonts w:eastAsia="MS Mincho"/>
        </w:rPr>
      </w:pPr>
      <w:r>
        <w:rPr>
          <w:rFonts w:eastAsia="MS Mincho"/>
        </w:rPr>
        <w:t>Ci si attende che lo studente impari a utilizzare gli strumenti analitici appresi per l’analisi economico-finanziaria soprattutto in ambito dinamico e multidimensionale, per poter trasferire le conoscenze alle discipline più specifiche di economia, finanza e scienze attuariali.</w:t>
      </w:r>
    </w:p>
    <w:p w:rsidR="00FE14BD" w:rsidRPr="00024B22" w:rsidRDefault="00FE14BD" w:rsidP="00FE14BD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024B22">
        <w:rPr>
          <w:rFonts w:eastAsia="MS Mincho"/>
          <w:b/>
          <w:i/>
          <w:sz w:val="18"/>
        </w:rPr>
        <w:t>PROGRAMMA DEL CORSO</w:t>
      </w:r>
    </w:p>
    <w:p w:rsidR="00FE14BD" w:rsidRPr="00024B22" w:rsidRDefault="00FE14BD" w:rsidP="00FE14BD">
      <w:pPr>
        <w:tabs>
          <w:tab w:val="clear" w:pos="284"/>
        </w:tabs>
        <w:rPr>
          <w:rFonts w:eastAsia="MS Mincho"/>
          <w:i/>
        </w:rPr>
      </w:pPr>
      <w:r w:rsidRPr="00024B22">
        <w:rPr>
          <w:rFonts w:eastAsia="MS Mincho"/>
          <w:smallCaps/>
          <w:sz w:val="18"/>
          <w:szCs w:val="18"/>
        </w:rPr>
        <w:t>Prima parte</w:t>
      </w:r>
      <w:r w:rsidRPr="00024B22">
        <w:rPr>
          <w:rFonts w:eastAsia="MS Mincho"/>
        </w:rPr>
        <w:t xml:space="preserve"> (5 cfu nel primo semestre) </w:t>
      </w:r>
      <w:r w:rsidRPr="00024B22">
        <w:rPr>
          <w:rFonts w:eastAsia="MS Mincho"/>
          <w:i/>
        </w:rPr>
        <w:t>Prof. Piera Mazzoleni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1.</w:t>
      </w:r>
      <w:r w:rsidRPr="00024B22">
        <w:rPr>
          <w:rFonts w:ascii="Times" w:hAnsi="Times"/>
          <w:szCs w:val="20"/>
        </w:rPr>
        <w:tab/>
        <w:t>Funzioni di due o più variabili, calcolo differenziale.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2.</w:t>
      </w:r>
      <w:r w:rsidRPr="00024B22">
        <w:rPr>
          <w:rFonts w:ascii="Times" w:hAnsi="Times"/>
          <w:szCs w:val="20"/>
        </w:rPr>
        <w:tab/>
        <w:t>Le forme quadratiche, problemi di ottimo libero.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3.</w:t>
      </w:r>
      <w:r w:rsidRPr="00024B22">
        <w:rPr>
          <w:rFonts w:ascii="Times" w:hAnsi="Times"/>
          <w:szCs w:val="20"/>
        </w:rPr>
        <w:tab/>
        <w:t>Problemi di ottimo vincolato, vincoli di disuguaglianza.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4.</w:t>
      </w:r>
      <w:r w:rsidRPr="00024B22">
        <w:rPr>
          <w:rFonts w:ascii="Times" w:hAnsi="Times"/>
          <w:szCs w:val="20"/>
        </w:rPr>
        <w:tab/>
        <w:t>Dalle relazioni di ricorrenza alle equazioni alle differenze.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5.</w:t>
      </w:r>
      <w:r w:rsidRPr="00024B22">
        <w:rPr>
          <w:rFonts w:ascii="Times" w:hAnsi="Times"/>
          <w:szCs w:val="20"/>
        </w:rPr>
        <w:tab/>
        <w:t>Equazioni differenziali a soluzione immediata.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6.</w:t>
      </w:r>
      <w:r w:rsidRPr="00024B22">
        <w:rPr>
          <w:rFonts w:ascii="Times" w:hAnsi="Times"/>
          <w:szCs w:val="20"/>
        </w:rPr>
        <w:tab/>
        <w:t>Distribuzioni di probabilità discrete e continue (alcuni cenni).</w:t>
      </w:r>
    </w:p>
    <w:p w:rsidR="00FE14BD" w:rsidRPr="00024B22" w:rsidRDefault="00FE14BD" w:rsidP="00FE14BD">
      <w:pPr>
        <w:tabs>
          <w:tab w:val="clear" w:pos="284"/>
        </w:tabs>
        <w:spacing w:before="120"/>
        <w:rPr>
          <w:rFonts w:eastAsia="MS Mincho"/>
        </w:rPr>
      </w:pPr>
      <w:r w:rsidRPr="00024B22">
        <w:rPr>
          <w:rFonts w:eastAsia="MS Mincho"/>
          <w:smallCaps/>
          <w:sz w:val="18"/>
          <w:szCs w:val="18"/>
        </w:rPr>
        <w:t>Seconda parte</w:t>
      </w:r>
      <w:r w:rsidRPr="00024B22">
        <w:rPr>
          <w:rFonts w:eastAsia="MS Mincho"/>
        </w:rPr>
        <w:t xml:space="preserve"> (5 cfu nel secondo semestre) </w:t>
      </w:r>
      <w:r w:rsidRPr="00024B22">
        <w:rPr>
          <w:rFonts w:eastAsia="MS Mincho"/>
          <w:i/>
        </w:rPr>
        <w:t>Prof. Paola Biffi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1.</w:t>
      </w:r>
      <w:r w:rsidRPr="00024B22">
        <w:rPr>
          <w:rFonts w:eastAsia="MS Mincho"/>
        </w:rPr>
        <w:tab/>
        <w:t>Calcolo di integrali doppi.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2.</w:t>
      </w:r>
      <w:r w:rsidRPr="00024B22">
        <w:rPr>
          <w:rFonts w:eastAsia="MS Mincho"/>
        </w:rPr>
        <w:tab/>
        <w:t>Integrali con parametro.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3.</w:t>
      </w:r>
      <w:r w:rsidRPr="00024B22">
        <w:rPr>
          <w:rFonts w:eastAsia="MS Mincho"/>
        </w:rPr>
        <w:tab/>
        <w:t>Spazi vettoriali, basi, sistemi di generatori.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4.</w:t>
      </w:r>
      <w:r w:rsidRPr="00024B22">
        <w:rPr>
          <w:rFonts w:eastAsia="MS Mincho"/>
        </w:rPr>
        <w:tab/>
        <w:t>Autovalori, autovettori, autospazi.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5.</w:t>
      </w:r>
      <w:r w:rsidRPr="00024B22">
        <w:rPr>
          <w:rFonts w:eastAsia="MS Mincho"/>
        </w:rPr>
        <w:tab/>
        <w:t>Spazi bilineari, isometrie.</w:t>
      </w:r>
    </w:p>
    <w:p w:rsidR="00FE14BD" w:rsidRPr="009930F3" w:rsidRDefault="00FE14BD" w:rsidP="009930F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2223A">
        <w:rPr>
          <w:rStyle w:val="Rimandonotaapidipagina"/>
          <w:b/>
          <w:i/>
          <w:sz w:val="18"/>
        </w:rPr>
        <w:footnoteReference w:id="1"/>
      </w:r>
    </w:p>
    <w:p w:rsidR="00FE14BD" w:rsidRPr="00FE14BD" w:rsidRDefault="00FE14BD" w:rsidP="00FE14BD">
      <w:pPr>
        <w:pStyle w:val="Testo1"/>
        <w:spacing w:before="0" w:line="240" w:lineRule="atLeast"/>
        <w:rPr>
          <w:spacing w:val="-5"/>
        </w:rPr>
      </w:pPr>
      <w:r w:rsidRPr="00FE14BD">
        <w:rPr>
          <w:smallCaps/>
          <w:spacing w:val="-5"/>
          <w:sz w:val="16"/>
        </w:rPr>
        <w:t>K. Sydsaeter-P. Hammond-A. Strom,</w:t>
      </w:r>
      <w:r w:rsidRPr="00FE14BD">
        <w:rPr>
          <w:i/>
          <w:spacing w:val="-5"/>
        </w:rPr>
        <w:t xml:space="preserve"> Metodi matematici per l’analisi economica e finanziaria,</w:t>
      </w:r>
      <w:r w:rsidRPr="00FE14BD">
        <w:rPr>
          <w:spacing w:val="-5"/>
        </w:rPr>
        <w:t xml:space="preserve"> Pearson Italia, 2015.</w:t>
      </w:r>
      <w:r w:rsidR="00F2223A">
        <w:rPr>
          <w:spacing w:val="-5"/>
        </w:rPr>
        <w:t xml:space="preserve"> </w:t>
      </w:r>
      <w:hyperlink r:id="rId9" w:history="1">
        <w:r w:rsidR="00F2223A" w:rsidRPr="00F222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M. Candilera-A. Bertapelle,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Algebra lineare e primi elementi di Geometria,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2011.</w:t>
      </w:r>
      <w:r w:rsidR="00F2223A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F2223A" w:rsidRPr="00F2223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P. Baldi,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Calcolo delle Probabilità,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 (2</w:t>
      </w:r>
      <w:r w:rsidRPr="009930F3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ed.).</w:t>
      </w:r>
      <w:r w:rsidR="00F2223A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F2223A" w:rsidRPr="00F2223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C. Canuto-A. Tabacco,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Analisi Matematica II (teoria ed esercizi),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Springer Verlag, Berlino, 2014.</w:t>
      </w:r>
    </w:p>
    <w:p w:rsidR="00FE14BD" w:rsidRPr="00024B22" w:rsidRDefault="00FE14BD" w:rsidP="00FE14BD">
      <w:pPr>
        <w:pStyle w:val="Testo1"/>
      </w:pPr>
      <w:r w:rsidRPr="00024B22">
        <w:t>È inoltre previsto materiale didattico di supporto disponibile sulla piattaforma Blackboard.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14BD" w:rsidRPr="00FE14BD" w:rsidRDefault="00FE14BD" w:rsidP="00FE14BD">
      <w:pPr>
        <w:pStyle w:val="Testo2"/>
      </w:pPr>
      <w:r w:rsidRPr="00FE14BD">
        <w:t>Lezioni in aula.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14BD" w:rsidRPr="00FE14BD" w:rsidRDefault="00FE14BD" w:rsidP="00FE14BD">
      <w:pPr>
        <w:pStyle w:val="Testo2"/>
      </w:pPr>
      <w:r w:rsidRPr="00FE14BD">
        <w:t xml:space="preserve">La valutazione delle conoscenze avviene mediante una prova scritta composta da esercizi aperti, teorici e numerici, sia nel primo modulo che nel secondo modulo. </w:t>
      </w:r>
    </w:p>
    <w:p w:rsidR="00FE14BD" w:rsidRPr="00FE14BD" w:rsidRDefault="00FE14BD" w:rsidP="00FE14BD">
      <w:pPr>
        <w:pStyle w:val="Testo2"/>
      </w:pPr>
      <w:r w:rsidRPr="00FE14BD">
        <w:t>Il voto risulta comprensivo della capacità espositiva dei risultati teorici e della abilità interpretativa dei risultati ottenuti in termini economici e finanziari.</w:t>
      </w:r>
    </w:p>
    <w:p w:rsidR="00FE14BD" w:rsidRPr="00FE14BD" w:rsidRDefault="00FE14BD" w:rsidP="00FE14BD">
      <w:pPr>
        <w:pStyle w:val="Testo2"/>
      </w:pPr>
      <w:r w:rsidRPr="00FE14BD">
        <w:t>La prova d’esame è superata solo ottenendo la sufficienza in entrambi i moduli.</w:t>
      </w:r>
    </w:p>
    <w:p w:rsidR="00FE14BD" w:rsidRPr="00FE14BD" w:rsidRDefault="00FE14BD" w:rsidP="00FE14BD">
      <w:pPr>
        <w:pStyle w:val="Testo2"/>
      </w:pPr>
      <w:r w:rsidRPr="00FE14BD">
        <w:t>È possibile sostenere l’esame anche mediante una prova intermedia (sugli argomenti del primo modulo) e una prova di completamento (sugli argomenti del secondo modulo).</w:t>
      </w:r>
    </w:p>
    <w:p w:rsidR="00FE14BD" w:rsidRDefault="00FE14BD" w:rsidP="00FE14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E14BD" w:rsidRDefault="00FE14BD" w:rsidP="009930F3">
      <w:pPr>
        <w:pStyle w:val="Testo2"/>
      </w:pPr>
      <w:r w:rsidRPr="009930F3">
        <w:t>Si richiede allo studente di padroneggiare in modo accurato gli strumenti di Matematica Generale già acquisiti.</w:t>
      </w:r>
    </w:p>
    <w:p w:rsidR="0047186F" w:rsidRDefault="0047186F" w:rsidP="0047186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E14BD" w:rsidRPr="00024B22" w:rsidRDefault="00FE14BD" w:rsidP="00FE14B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24B22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FE14BD" w:rsidRPr="00FE14BD" w:rsidRDefault="009930F3" w:rsidP="00FE14BD">
      <w:pPr>
        <w:pStyle w:val="Testo2"/>
      </w:pPr>
      <w:r>
        <w:t>Il Prof. Piera Mazzoleni e il</w:t>
      </w:r>
      <w:r w:rsidR="00FE14BD" w:rsidRPr="00024B22">
        <w:t xml:space="preserve"> Prof. Paola Biffi ricevono secondo l’orario esposto in bacheca e pubblicato su Blackboard e sulla pagina personale.</w:t>
      </w:r>
    </w:p>
    <w:sectPr w:rsidR="00FE14BD" w:rsidRPr="00FE14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3A" w:rsidRDefault="00F2223A" w:rsidP="00F2223A">
      <w:pPr>
        <w:spacing w:line="240" w:lineRule="auto"/>
      </w:pPr>
      <w:r>
        <w:separator/>
      </w:r>
    </w:p>
  </w:endnote>
  <w:endnote w:type="continuationSeparator" w:id="0">
    <w:p w:rsidR="00F2223A" w:rsidRDefault="00F2223A" w:rsidP="00F22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3A" w:rsidRDefault="00F2223A" w:rsidP="00F2223A">
      <w:pPr>
        <w:spacing w:line="240" w:lineRule="auto"/>
      </w:pPr>
      <w:r>
        <w:separator/>
      </w:r>
    </w:p>
  </w:footnote>
  <w:footnote w:type="continuationSeparator" w:id="0">
    <w:p w:rsidR="00F2223A" w:rsidRDefault="00F2223A" w:rsidP="00F2223A">
      <w:pPr>
        <w:spacing w:line="240" w:lineRule="auto"/>
      </w:pPr>
      <w:r>
        <w:continuationSeparator/>
      </w:r>
    </w:p>
  </w:footnote>
  <w:footnote w:id="1">
    <w:p w:rsidR="00F2223A" w:rsidRDefault="00F222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A4B"/>
    <w:multiLevelType w:val="hybridMultilevel"/>
    <w:tmpl w:val="473A119C"/>
    <w:lvl w:ilvl="0" w:tplc="517427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D"/>
    <w:rsid w:val="00187B99"/>
    <w:rsid w:val="002014DD"/>
    <w:rsid w:val="002D5E17"/>
    <w:rsid w:val="0047186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930F3"/>
    <w:rsid w:val="009E055C"/>
    <w:rsid w:val="00A43184"/>
    <w:rsid w:val="00A74F6F"/>
    <w:rsid w:val="00AD7557"/>
    <w:rsid w:val="00B50C5D"/>
    <w:rsid w:val="00B51253"/>
    <w:rsid w:val="00B525CC"/>
    <w:rsid w:val="00D404F2"/>
    <w:rsid w:val="00E607E6"/>
    <w:rsid w:val="00E859B6"/>
    <w:rsid w:val="00F2223A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22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223A"/>
  </w:style>
  <w:style w:type="character" w:styleId="Rimandonotaapidipagina">
    <w:name w:val="footnote reference"/>
    <w:basedOn w:val="Carpredefinitoparagrafo"/>
    <w:rsid w:val="00F2223A"/>
    <w:rPr>
      <w:vertAlign w:val="superscript"/>
    </w:rPr>
  </w:style>
  <w:style w:type="character" w:styleId="Collegamentoipertestuale">
    <w:name w:val="Hyperlink"/>
    <w:basedOn w:val="Carpredefinitoparagrafo"/>
    <w:rsid w:val="00F222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22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223A"/>
  </w:style>
  <w:style w:type="character" w:styleId="Rimandonotaapidipagina">
    <w:name w:val="footnote reference"/>
    <w:basedOn w:val="Carpredefinitoparagrafo"/>
    <w:rsid w:val="00F2223A"/>
    <w:rPr>
      <w:vertAlign w:val="superscript"/>
    </w:rPr>
  </w:style>
  <w:style w:type="character" w:styleId="Collegamentoipertestuale">
    <w:name w:val="Hyperlink"/>
    <w:basedOn w:val="Carpredefinitoparagrafo"/>
    <w:rsid w:val="00F22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aldi/calcolo-delle-probabilita-9788838666957-17697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ertapelle-alessandra-candilera-maurizio/algebra-lineare-e-primi-elementi-di-geometria-9788838661891-176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ter-hammond-knut-sydsaeter-arne-strc3b8m/metodi-matematici-per-leconomia-ediz-mylab-9788891905529-6994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CA9F-C4FD-4821-A80B-8B0D692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491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2021-04-28T14:38:00Z</dcterms:created>
  <dcterms:modified xsi:type="dcterms:W3CDTF">2022-07-13T09:31:00Z</dcterms:modified>
</cp:coreProperties>
</file>