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FD59" w14:textId="38189322" w:rsidR="006F1772" w:rsidRDefault="00417CFD">
      <w:pPr>
        <w:pStyle w:val="Titolo1"/>
      </w:pPr>
      <w:r>
        <w:t>Microeconomia (per</w:t>
      </w:r>
      <w:r w:rsidR="00C457EF">
        <w:t xml:space="preserve"> tutti </w:t>
      </w:r>
      <w:r>
        <w:t>i</w:t>
      </w:r>
      <w:r w:rsidR="002741FF">
        <w:t xml:space="preserve"> profili</w:t>
      </w:r>
      <w:r>
        <w:t>)</w:t>
      </w:r>
    </w:p>
    <w:p w14:paraId="1BB01C05" w14:textId="77777777" w:rsidR="00CA7FA3" w:rsidRDefault="00CA7FA3" w:rsidP="00CA7FA3">
      <w:pPr>
        <w:pStyle w:val="Titolo2"/>
      </w:pPr>
      <w:r w:rsidRPr="00CA7FA3">
        <w:t xml:space="preserve">Prof. </w:t>
      </w:r>
      <w:r w:rsidR="00417CFD">
        <w:t>Stefano Colombo</w:t>
      </w:r>
    </w:p>
    <w:p w14:paraId="4E2FB9BE" w14:textId="77777777" w:rsidR="00CA7FA3" w:rsidRDefault="00CA7FA3" w:rsidP="00CA7FA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02994">
        <w:rPr>
          <w:b/>
          <w:i/>
          <w:sz w:val="18"/>
        </w:rPr>
        <w:t xml:space="preserve"> E RISULTATI DI APPRENDIMENTO ATTESI</w:t>
      </w:r>
    </w:p>
    <w:p w14:paraId="17F58445" w14:textId="77777777" w:rsidR="00D037C5" w:rsidRDefault="00417CFD" w:rsidP="00417CFD">
      <w:r w:rsidRPr="00417CFD">
        <w:t>Il corso ha per oggetto l’analisi microeconomica dei mercati e degli intermediari finanziari. Viene privilegiato l’approccio basato sull’informazione asimmetrica.</w:t>
      </w:r>
      <w:r w:rsidR="00D037C5">
        <w:t xml:space="preserve"> Al termine del corso, gli studenti apprendono:</w:t>
      </w:r>
      <w:r w:rsidRPr="00417CFD">
        <w:t xml:space="preserve"> </w:t>
      </w:r>
    </w:p>
    <w:p w14:paraId="40E0012A" w14:textId="77777777" w:rsidR="00D037C5" w:rsidRDefault="00D037C5" w:rsidP="00417CFD">
      <w:r>
        <w:t xml:space="preserve">- i principi teorici e le modalità di risoluzione analitica dei problemi </w:t>
      </w:r>
      <w:r w:rsidR="00417CFD" w:rsidRPr="00417CFD">
        <w:t>di mora</w:t>
      </w:r>
      <w:r w:rsidR="001F28A9">
        <w:t>l hazard e di selezione avversa;</w:t>
      </w:r>
      <w:r w:rsidR="00417CFD" w:rsidRPr="00417CFD">
        <w:t xml:space="preserve"> </w:t>
      </w:r>
    </w:p>
    <w:p w14:paraId="6C9987A4" w14:textId="77777777" w:rsidR="001F28A9" w:rsidRDefault="001F28A9" w:rsidP="00417CFD">
      <w:r>
        <w:t xml:space="preserve">- come utilizzare i principi dell’informazione asimmetrica per </w:t>
      </w:r>
      <w:r w:rsidRPr="00417CFD">
        <w:t>comprendere il funzionamento dei mercati e degli intermediari finanziari</w:t>
      </w:r>
    </w:p>
    <w:p w14:paraId="58F5812F" w14:textId="77777777" w:rsidR="00096DAF" w:rsidRDefault="00096DAF" w:rsidP="00096D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69C369" w14:textId="77777777" w:rsidR="00417CFD" w:rsidRPr="00417CFD" w:rsidRDefault="00417CFD" w:rsidP="00417CFD">
      <w:pPr>
        <w:spacing w:before="120"/>
        <w:rPr>
          <w:smallCaps/>
          <w:sz w:val="18"/>
          <w:szCs w:val="18"/>
        </w:rPr>
      </w:pPr>
      <w:r w:rsidRPr="00417CFD">
        <w:rPr>
          <w:smallCaps/>
          <w:sz w:val="18"/>
          <w:szCs w:val="18"/>
        </w:rPr>
        <w:t>Obiettivi formativi del corso</w:t>
      </w:r>
    </w:p>
    <w:p w14:paraId="3D7A7D18" w14:textId="77777777" w:rsidR="00417CFD" w:rsidRPr="00417CFD" w:rsidRDefault="00417CFD" w:rsidP="00417CFD">
      <w:pPr>
        <w:rPr>
          <w:i/>
          <w:iCs/>
          <w:noProof/>
        </w:rPr>
      </w:pPr>
      <w:r w:rsidRPr="00417CFD">
        <w:rPr>
          <w:i/>
          <w:iCs/>
          <w:noProof/>
        </w:rPr>
        <w:t>Al termine del corso lo studente deve essere in grado di rispondere a domande teoriche e di risolvere esercizi a</w:t>
      </w:r>
      <w:r>
        <w:rPr>
          <w:i/>
          <w:iCs/>
          <w:noProof/>
        </w:rPr>
        <w:t>nalitici sui seguenti argomenti</w:t>
      </w:r>
      <w:r w:rsidR="00254C9D">
        <w:rPr>
          <w:i/>
          <w:iCs/>
          <w:noProof/>
        </w:rPr>
        <w:t>:</w:t>
      </w:r>
    </w:p>
    <w:p w14:paraId="1F1DD56A" w14:textId="77777777" w:rsidR="00417CFD" w:rsidRPr="00417CFD" w:rsidRDefault="00417CFD" w:rsidP="00417CFD">
      <w:pPr>
        <w:ind w:left="284" w:hanging="284"/>
        <w:rPr>
          <w:noProof/>
        </w:rPr>
      </w:pPr>
      <w:r w:rsidRPr="00417CFD">
        <w:rPr>
          <w:noProof/>
        </w:rPr>
        <w:t xml:space="preserve">Teoria dei contratti: </w:t>
      </w:r>
    </w:p>
    <w:p w14:paraId="5691193A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modello principale-agente con azione nascosta (</w:t>
      </w:r>
      <w:r w:rsidR="00417CFD" w:rsidRPr="00417CFD">
        <w:rPr>
          <w:i/>
          <w:noProof/>
        </w:rPr>
        <w:t>moral hazard</w:t>
      </w:r>
      <w:r w:rsidR="00417CFD" w:rsidRPr="00417CFD">
        <w:rPr>
          <w:noProof/>
        </w:rPr>
        <w:t>);</w:t>
      </w:r>
    </w:p>
    <w:p w14:paraId="1781981F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modello principale-agente con informazione nascosta (selezione avversa).</w:t>
      </w:r>
    </w:p>
    <w:p w14:paraId="61B58CC4" w14:textId="77777777" w:rsidR="00417CFD" w:rsidRPr="00417CFD" w:rsidRDefault="00417CFD" w:rsidP="00254C9D">
      <w:pPr>
        <w:spacing w:before="120"/>
        <w:ind w:left="284" w:hanging="284"/>
        <w:rPr>
          <w:noProof/>
        </w:rPr>
      </w:pPr>
      <w:r w:rsidRPr="00417CFD">
        <w:rPr>
          <w:noProof/>
        </w:rPr>
        <w:t>Applicazioni:</w:t>
      </w:r>
    </w:p>
    <w:p w14:paraId="0CE61B31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>Mercati assicurativi;</w:t>
      </w:r>
    </w:p>
    <w:p w14:paraId="72ADCE0F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 xml:space="preserve">La relazione creditore - debitore: </w:t>
      </w:r>
      <w:r w:rsidR="00417CFD" w:rsidRPr="00254C9D">
        <w:rPr>
          <w:noProof/>
        </w:rPr>
        <w:t>costly state verification</w:t>
      </w:r>
      <w:r w:rsidR="00417CFD" w:rsidRPr="00417CFD">
        <w:rPr>
          <w:noProof/>
        </w:rPr>
        <w:t xml:space="preserve">, </w:t>
      </w:r>
      <w:r w:rsidR="00417CFD" w:rsidRPr="00254C9D">
        <w:rPr>
          <w:noProof/>
        </w:rPr>
        <w:t>risk-taking incentives</w:t>
      </w:r>
      <w:r w:rsidR="00417CFD" w:rsidRPr="00417CFD">
        <w:rPr>
          <w:noProof/>
        </w:rPr>
        <w:t xml:space="preserve">; </w:t>
      </w:r>
    </w:p>
    <w:p w14:paraId="10C71C8C" w14:textId="77777777" w:rsidR="00417CFD" w:rsidRPr="00417CFD" w:rsidRDefault="00254C9D" w:rsidP="00254C9D">
      <w:pPr>
        <w:ind w:left="284" w:hanging="283"/>
        <w:rPr>
          <w:noProof/>
        </w:rPr>
      </w:pPr>
      <w:r>
        <w:rPr>
          <w:noProof/>
        </w:rPr>
        <w:t>–</w:t>
      </w:r>
      <w:r>
        <w:rPr>
          <w:noProof/>
        </w:rPr>
        <w:tab/>
      </w:r>
      <w:r w:rsidR="00417CFD" w:rsidRPr="00417CFD">
        <w:rPr>
          <w:noProof/>
        </w:rPr>
        <w:t xml:space="preserve">Intermediazione finanziaria: </w:t>
      </w:r>
    </w:p>
    <w:p w14:paraId="419EED84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banche e produzione d’informazione; </w:t>
      </w:r>
    </w:p>
    <w:p w14:paraId="090AC5CF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rischio di credito e razionamento – ruolo delle garanzie; </w:t>
      </w:r>
    </w:p>
    <w:p w14:paraId="7D535C67" w14:textId="77777777" w:rsidR="00417CFD" w:rsidRPr="00417CFD" w:rsidRDefault="00254C9D" w:rsidP="00254C9D">
      <w:pPr>
        <w:ind w:left="284"/>
        <w:rPr>
          <w:noProof/>
        </w:rPr>
      </w:pPr>
      <w:r>
        <w:rPr>
          <w:noProof/>
        </w:rPr>
        <w:t>*</w:t>
      </w:r>
      <w:r>
        <w:rPr>
          <w:noProof/>
        </w:rPr>
        <w:tab/>
      </w:r>
      <w:r w:rsidR="00417CFD" w:rsidRPr="00417CFD">
        <w:rPr>
          <w:noProof/>
        </w:rPr>
        <w:t xml:space="preserve">rischio di liquidità e prestito d’ultima istanza. </w:t>
      </w:r>
    </w:p>
    <w:p w14:paraId="020CE331" w14:textId="52A37000" w:rsidR="00CA7FA3" w:rsidRPr="00254C9D" w:rsidRDefault="00CA7FA3" w:rsidP="00254C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C5620">
        <w:rPr>
          <w:rStyle w:val="Rimandonotaapidipagina"/>
          <w:b/>
          <w:i/>
          <w:sz w:val="18"/>
        </w:rPr>
        <w:footnoteReference w:id="1"/>
      </w:r>
    </w:p>
    <w:p w14:paraId="4374875F" w14:textId="1A34D5AD" w:rsidR="00BF23D7" w:rsidRPr="00BF23D7" w:rsidRDefault="00BF23D7" w:rsidP="00254C9D">
      <w:pPr>
        <w:pStyle w:val="Testo1"/>
        <w:spacing w:before="0"/>
      </w:pPr>
      <w:r w:rsidRPr="00BF23D7">
        <w:rPr>
          <w:smallCaps/>
          <w:sz w:val="16"/>
        </w:rPr>
        <w:t>A. Baglioni</w:t>
      </w:r>
      <w:r>
        <w:t xml:space="preserve">, </w:t>
      </w:r>
      <w:r w:rsidRPr="00BF23D7">
        <w:rPr>
          <w:i/>
        </w:rPr>
        <w:t>Informazione e incertezza nella teoria finanziaria</w:t>
      </w:r>
      <w:r w:rsidRPr="00BF23D7">
        <w:t xml:space="preserve">, Hoepli, Milano, 2000. </w:t>
      </w:r>
      <w:r w:rsidR="00FC5620">
        <w:t xml:space="preserve"> </w:t>
      </w:r>
      <w:hyperlink r:id="rId9" w:history="1">
        <w:r w:rsidR="00FC5620" w:rsidRPr="00FC5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87A26AC" w14:textId="77777777" w:rsidR="00BF23D7" w:rsidRPr="00BF23D7" w:rsidRDefault="00BF23D7" w:rsidP="00254C9D">
      <w:pPr>
        <w:pStyle w:val="Testo1"/>
        <w:spacing w:before="0"/>
      </w:pPr>
      <w:r w:rsidRPr="00BF23D7">
        <w:t>Materiale disponibile sulla pagina web del docente.</w:t>
      </w:r>
    </w:p>
    <w:p w14:paraId="312A7930" w14:textId="77777777" w:rsidR="00CA7FA3" w:rsidRDefault="00CA7FA3" w:rsidP="00CA7F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780512" w14:textId="77777777" w:rsidR="00BF23D7" w:rsidRPr="00BF23D7" w:rsidRDefault="00BF23D7" w:rsidP="00BF23D7">
      <w:pPr>
        <w:pStyle w:val="Testo2"/>
      </w:pPr>
      <w:r>
        <w:t>L</w:t>
      </w:r>
      <w:r w:rsidRPr="00BF23D7">
        <w:t>ezioni svolte in aula dal docente.</w:t>
      </w:r>
    </w:p>
    <w:p w14:paraId="28676D31" w14:textId="77777777" w:rsidR="00CA7FA3" w:rsidRDefault="00CA7FA3" w:rsidP="00CA7FA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</w:t>
      </w:r>
      <w:r w:rsidR="00D0299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2D4A8A0" w14:textId="77777777" w:rsidR="00BF23D7" w:rsidRPr="00BF23D7" w:rsidRDefault="00BF23D7" w:rsidP="00BF23D7">
      <w:pPr>
        <w:pStyle w:val="Testo2"/>
      </w:pPr>
      <w:r>
        <w:t>E</w:t>
      </w:r>
      <w:r w:rsidRPr="00BF23D7">
        <w:t xml:space="preserve">sami </w:t>
      </w:r>
      <w:r w:rsidR="00D02994">
        <w:t>in forma scritta</w:t>
      </w:r>
      <w:r w:rsidRPr="00BF23D7">
        <w:t>.</w:t>
      </w:r>
    </w:p>
    <w:p w14:paraId="5355C1F7" w14:textId="77777777" w:rsidR="00711450" w:rsidRDefault="00711450" w:rsidP="0071145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747A1">
        <w:rPr>
          <w:b/>
          <w:i/>
          <w:sz w:val="18"/>
        </w:rPr>
        <w:t xml:space="preserve"> E PREREQUISITI</w:t>
      </w:r>
    </w:p>
    <w:p w14:paraId="1BFEF148" w14:textId="77777777" w:rsidR="00673835" w:rsidRPr="00673835" w:rsidRDefault="00673835" w:rsidP="00673835">
      <w:pPr>
        <w:pStyle w:val="Testo2"/>
        <w:rPr>
          <w:i/>
        </w:rPr>
      </w:pPr>
      <w:r w:rsidRPr="00673835">
        <w:rPr>
          <w:i/>
        </w:rPr>
        <w:t>Obiettivi formativi che lo studente deve avere raggiunto prima di accedere al corso</w:t>
      </w:r>
    </w:p>
    <w:p w14:paraId="1E7B14C0" w14:textId="77777777" w:rsidR="00673835" w:rsidRDefault="00673835" w:rsidP="00673835">
      <w:pPr>
        <w:pStyle w:val="Testo2"/>
      </w:pPr>
      <w:r w:rsidRPr="00673835">
        <w:t xml:space="preserve">Lo studente deve possedere gli strumenti di analisi standard del corso di microeconomia del triennio. Hanno particolare importanza: la teoria delle scelte individuali in condizioni di incertezza (utilità attesa, avversione al rischio e relative misure) e in un contesto strategico (equilibrio di Nash); la teoria dei mercati in condizioni di concorrenza perfetta e di monopolio. </w:t>
      </w:r>
    </w:p>
    <w:p w14:paraId="72D7C910" w14:textId="77777777" w:rsidR="004A3B30" w:rsidRPr="00673835" w:rsidRDefault="004A3B30" w:rsidP="00673835">
      <w:pPr>
        <w:pStyle w:val="Testo2"/>
      </w:pPr>
      <w:r w:rsidRPr="004A3B30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B49574F" w14:textId="77777777" w:rsidR="00711450" w:rsidRPr="00711450" w:rsidRDefault="00711450" w:rsidP="00711450">
      <w:pPr>
        <w:pStyle w:val="Testo2"/>
        <w:spacing w:before="120"/>
        <w:rPr>
          <w:i/>
        </w:rPr>
      </w:pPr>
      <w:r w:rsidRPr="00711450">
        <w:rPr>
          <w:i/>
        </w:rPr>
        <w:t>Orario e luogo di ricevimento</w:t>
      </w:r>
    </w:p>
    <w:p w14:paraId="27A74C24" w14:textId="77777777" w:rsidR="00711450" w:rsidRPr="00711450" w:rsidRDefault="00711450" w:rsidP="00711450">
      <w:pPr>
        <w:pStyle w:val="Testo2"/>
      </w:pPr>
      <w:r>
        <w:t xml:space="preserve">Il Prof. </w:t>
      </w:r>
      <w:r w:rsidR="00894C77">
        <w:t>Stefano Colombo</w:t>
      </w:r>
      <w:r>
        <w:t xml:space="preserve"> riceve gli studenti </w:t>
      </w:r>
      <w:r w:rsidR="00894C77">
        <w:t>il giovedì dalle ore 16,</w:t>
      </w:r>
      <w:r w:rsidR="004A3B30">
        <w:t>00</w:t>
      </w:r>
      <w:r w:rsidR="00894C77">
        <w:t xml:space="preserve"> alle ore 17,</w:t>
      </w:r>
      <w:r w:rsidR="004A3B30">
        <w:t>00</w:t>
      </w:r>
      <w:r w:rsidR="00894C77">
        <w:t xml:space="preserve"> presso il suo studio (via Necchi, 5, II piano, uff. n. 203).</w:t>
      </w:r>
    </w:p>
    <w:sectPr w:rsidR="00711450" w:rsidRPr="007114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45304" w14:textId="77777777" w:rsidR="00A77710" w:rsidRDefault="00A77710" w:rsidP="008C5544">
      <w:r>
        <w:separator/>
      </w:r>
    </w:p>
  </w:endnote>
  <w:endnote w:type="continuationSeparator" w:id="0">
    <w:p w14:paraId="72765D1C" w14:textId="77777777" w:rsidR="00A77710" w:rsidRDefault="00A77710" w:rsidP="008C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0BDC5" w14:textId="77777777" w:rsidR="00A77710" w:rsidRDefault="00A77710" w:rsidP="008C5544">
      <w:r>
        <w:separator/>
      </w:r>
    </w:p>
  </w:footnote>
  <w:footnote w:type="continuationSeparator" w:id="0">
    <w:p w14:paraId="249606EB" w14:textId="77777777" w:rsidR="00A77710" w:rsidRDefault="00A77710" w:rsidP="008C5544">
      <w:r>
        <w:continuationSeparator/>
      </w:r>
    </w:p>
  </w:footnote>
  <w:footnote w:id="1">
    <w:p w14:paraId="630C90BB" w14:textId="39369E0B" w:rsidR="00FC5620" w:rsidRDefault="00FC56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6EF0"/>
    <w:multiLevelType w:val="hybridMultilevel"/>
    <w:tmpl w:val="7DBE5718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7640D6"/>
    <w:multiLevelType w:val="hybridMultilevel"/>
    <w:tmpl w:val="0406B2BE"/>
    <w:lvl w:ilvl="0" w:tplc="6F9C1E8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E7003"/>
    <w:multiLevelType w:val="hybridMultilevel"/>
    <w:tmpl w:val="7C58D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1A1B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054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15"/>
    <w:rsid w:val="00050D9F"/>
    <w:rsid w:val="00071C15"/>
    <w:rsid w:val="00096DAF"/>
    <w:rsid w:val="000D4140"/>
    <w:rsid w:val="00187B99"/>
    <w:rsid w:val="001F28A9"/>
    <w:rsid w:val="002014DD"/>
    <w:rsid w:val="00254C9D"/>
    <w:rsid w:val="002741FF"/>
    <w:rsid w:val="00281235"/>
    <w:rsid w:val="002B1B78"/>
    <w:rsid w:val="00374F54"/>
    <w:rsid w:val="00394141"/>
    <w:rsid w:val="003D68BD"/>
    <w:rsid w:val="003F2BCA"/>
    <w:rsid w:val="00417CFD"/>
    <w:rsid w:val="004375BE"/>
    <w:rsid w:val="00477FF0"/>
    <w:rsid w:val="004A3B30"/>
    <w:rsid w:val="004D1217"/>
    <w:rsid w:val="004D6008"/>
    <w:rsid w:val="00543AF1"/>
    <w:rsid w:val="00581CED"/>
    <w:rsid w:val="00673835"/>
    <w:rsid w:val="006F1772"/>
    <w:rsid w:val="00704A36"/>
    <w:rsid w:val="00711450"/>
    <w:rsid w:val="007910AB"/>
    <w:rsid w:val="007E5595"/>
    <w:rsid w:val="007E55A9"/>
    <w:rsid w:val="00894C77"/>
    <w:rsid w:val="008A1204"/>
    <w:rsid w:val="008C5544"/>
    <w:rsid w:val="008D1CCD"/>
    <w:rsid w:val="00900CCA"/>
    <w:rsid w:val="00924B77"/>
    <w:rsid w:val="00940DA2"/>
    <w:rsid w:val="009E055C"/>
    <w:rsid w:val="00A74F6F"/>
    <w:rsid w:val="00A77710"/>
    <w:rsid w:val="00AD7557"/>
    <w:rsid w:val="00B51253"/>
    <w:rsid w:val="00B525CC"/>
    <w:rsid w:val="00BF23D7"/>
    <w:rsid w:val="00C43F17"/>
    <w:rsid w:val="00C457EF"/>
    <w:rsid w:val="00CA7FA3"/>
    <w:rsid w:val="00D02994"/>
    <w:rsid w:val="00D037C5"/>
    <w:rsid w:val="00D34D65"/>
    <w:rsid w:val="00D404F2"/>
    <w:rsid w:val="00D41E13"/>
    <w:rsid w:val="00E607E6"/>
    <w:rsid w:val="00F67AA3"/>
    <w:rsid w:val="00F747A1"/>
    <w:rsid w:val="00FC40F1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5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5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544"/>
  </w:style>
  <w:style w:type="paragraph" w:styleId="Pidipagina">
    <w:name w:val="footer"/>
    <w:basedOn w:val="Normale"/>
    <w:link w:val="PidipaginaCarattere"/>
    <w:unhideWhenUsed/>
    <w:rsid w:val="008C5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5544"/>
  </w:style>
  <w:style w:type="paragraph" w:styleId="Paragrafoelenco">
    <w:name w:val="List Paragraph"/>
    <w:basedOn w:val="Normale"/>
    <w:uiPriority w:val="34"/>
    <w:qFormat/>
    <w:rsid w:val="00254C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C562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5620"/>
  </w:style>
  <w:style w:type="character" w:styleId="Rimandonotaapidipagina">
    <w:name w:val="footnote reference"/>
    <w:basedOn w:val="Carpredefinitoparagrafo"/>
    <w:semiHidden/>
    <w:unhideWhenUsed/>
    <w:rsid w:val="00FC5620"/>
    <w:rPr>
      <w:vertAlign w:val="superscript"/>
    </w:rPr>
  </w:style>
  <w:style w:type="character" w:styleId="Collegamentoipertestuale">
    <w:name w:val="Hyperlink"/>
    <w:basedOn w:val="Carpredefinitoparagrafo"/>
    <w:unhideWhenUsed/>
    <w:rsid w:val="00FC56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C5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544"/>
  </w:style>
  <w:style w:type="paragraph" w:styleId="Pidipagina">
    <w:name w:val="footer"/>
    <w:basedOn w:val="Normale"/>
    <w:link w:val="PidipaginaCarattere"/>
    <w:unhideWhenUsed/>
    <w:rsid w:val="008C5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5544"/>
  </w:style>
  <w:style w:type="paragraph" w:styleId="Paragrafoelenco">
    <w:name w:val="List Paragraph"/>
    <w:basedOn w:val="Normale"/>
    <w:uiPriority w:val="34"/>
    <w:qFormat/>
    <w:rsid w:val="00254C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FC562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5620"/>
  </w:style>
  <w:style w:type="character" w:styleId="Rimandonotaapidipagina">
    <w:name w:val="footnote reference"/>
    <w:basedOn w:val="Carpredefinitoparagrafo"/>
    <w:semiHidden/>
    <w:unhideWhenUsed/>
    <w:rsid w:val="00FC5620"/>
    <w:rPr>
      <w:vertAlign w:val="superscript"/>
    </w:rPr>
  </w:style>
  <w:style w:type="character" w:styleId="Collegamentoipertestuale">
    <w:name w:val="Hyperlink"/>
    <w:basedOn w:val="Carpredefinitoparagrafo"/>
    <w:unhideWhenUsed/>
    <w:rsid w:val="00FC5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aglioni-angelo/informazione-e-incertezza-nella-teoria-finanziaria-9788820327941-16882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D1D-9875-418C-94F6-2C855AE7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340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Microeconomia (per i profili Finanza e Finanza – Corporate advisory)</vt:lpstr>
    </vt:vector>
  </TitlesOfParts>
  <Company>U.C.S.C. MILANO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Microeconomia (per i profili Finanza e Finanza – Corporate advisory)</dc:title>
  <dc:subject/>
  <dc:creator>Grassi Monica Barbara</dc:creator>
  <cp:keywords/>
  <cp:lastModifiedBy>Rolli Andrea</cp:lastModifiedBy>
  <cp:revision>6</cp:revision>
  <cp:lastPrinted>2019-04-26T13:56:00Z</cp:lastPrinted>
  <dcterms:created xsi:type="dcterms:W3CDTF">2020-05-25T15:58:00Z</dcterms:created>
  <dcterms:modified xsi:type="dcterms:W3CDTF">2022-07-13T09:23:00Z</dcterms:modified>
</cp:coreProperties>
</file>