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71BF" w14:textId="1BCFA83D" w:rsidR="002D5E17" w:rsidRDefault="00336A41" w:rsidP="002D5E17">
      <w:pPr>
        <w:pStyle w:val="Titolo1"/>
      </w:pPr>
      <w:r>
        <w:t>Politica economica</w:t>
      </w:r>
    </w:p>
    <w:p w14:paraId="0875FD76" w14:textId="4ECDC6AD" w:rsidR="00336A41" w:rsidRDefault="00336A41" w:rsidP="00336A41">
      <w:pPr>
        <w:pStyle w:val="Titolo2"/>
      </w:pPr>
      <w:r>
        <w:t>Prof. Giorgio Ricchiuti</w:t>
      </w:r>
    </w:p>
    <w:p w14:paraId="573B7E5D" w14:textId="77777777" w:rsidR="00336A41" w:rsidRDefault="00336A41" w:rsidP="00336A4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A82074" w14:textId="77777777" w:rsidR="00336A41" w:rsidRPr="00336A41" w:rsidRDefault="00336A41" w:rsidP="00336A41">
      <w:pPr>
        <w:rPr>
          <w:szCs w:val="20"/>
        </w:rPr>
      </w:pPr>
      <w:r w:rsidRPr="00336A41">
        <w:rPr>
          <w:szCs w:val="20"/>
        </w:rPr>
        <w:t>Il corso introduce alle ragioni e alle modalità dell’intervento pubblico in economia, dal punto di vista teorico e con riferimento all’esperienza italiana. Al termine i partecipanti conosceranno e sapranno utilizzare i principali modelli correntemente usati ai fini della valutazione delle politiche pubbliche e saranno in grado di discuterne l’impatto sugli operatori e sui mercati finanziari. Acquisiranno anche una cognizione approfondita dei principali problemi dello sviluppo economico italiano dal dopoguerra a oggi.</w:t>
      </w:r>
    </w:p>
    <w:p w14:paraId="211D8080" w14:textId="77777777" w:rsidR="00336A41" w:rsidRPr="00336A41" w:rsidRDefault="00336A41" w:rsidP="00336A41">
      <w:pPr>
        <w:rPr>
          <w:szCs w:val="20"/>
        </w:rPr>
      </w:pPr>
      <w:r w:rsidRPr="00336A41">
        <w:rPr>
          <w:szCs w:val="20"/>
        </w:rPr>
        <w:t>Al termine dell’insegnamento, lo studente sarà in grado di:</w:t>
      </w:r>
    </w:p>
    <w:p w14:paraId="03D77922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>comprendere le ragioni e i limiti dell’intervento pubblico in economia, valutando le situazioni in cui l’intervento pubblico è efficace e quelle in cui è inefficace;</w:t>
      </w:r>
    </w:p>
    <w:p w14:paraId="7C4EBD87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 xml:space="preserve">conoscere i problemi di </w:t>
      </w:r>
      <w:r w:rsidRPr="00336A41">
        <w:rPr>
          <w:rFonts w:eastAsia="MS Mincho"/>
          <w:i/>
          <w:szCs w:val="20"/>
        </w:rPr>
        <w:t>policy</w:t>
      </w:r>
      <w:r w:rsidRPr="00336A41">
        <w:rPr>
          <w:rFonts w:eastAsia="MS Mincho"/>
          <w:szCs w:val="20"/>
        </w:rPr>
        <w:t xml:space="preserve"> connessi con la fornitura di beni pubblici, con il trattamento delle esternalità e con il controllo del potere di mercato;</w:t>
      </w:r>
    </w:p>
    <w:p w14:paraId="73C9DC60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 xml:space="preserve">comprendere il significato del </w:t>
      </w:r>
      <w:proofErr w:type="spellStart"/>
      <w:r w:rsidRPr="00336A41">
        <w:rPr>
          <w:rFonts w:eastAsia="MS Mincho"/>
          <w:i/>
          <w:szCs w:val="20"/>
        </w:rPr>
        <w:t>trade</w:t>
      </w:r>
      <w:proofErr w:type="spellEnd"/>
      <w:r w:rsidRPr="00336A41">
        <w:rPr>
          <w:rFonts w:eastAsia="MS Mincho"/>
          <w:i/>
          <w:szCs w:val="20"/>
        </w:rPr>
        <w:t>-off</w:t>
      </w:r>
      <w:r w:rsidRPr="00336A41">
        <w:rPr>
          <w:rFonts w:eastAsia="MS Mincho"/>
          <w:szCs w:val="20"/>
        </w:rPr>
        <w:t xml:space="preserve"> tra efficienza ed equità e i problemi politici che esso pone;</w:t>
      </w:r>
    </w:p>
    <w:p w14:paraId="2218444A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>conoscere le difficoltà relative alla formazione di scelte collettive in un contesto democratico;</w:t>
      </w:r>
    </w:p>
    <w:p w14:paraId="180096A3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>conoscere gli elementi essenziali che caratterizzano la politica di bilancio (compreso il sistema tributario) e la politica monetaria nel contesto europeo;</w:t>
      </w:r>
    </w:p>
    <w:p w14:paraId="699FB731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 xml:space="preserve">conoscere e valutare le ragioni, assieme redistributive e assicurative, delle istituzioni del </w:t>
      </w:r>
      <w:r w:rsidRPr="00336A41">
        <w:rPr>
          <w:rFonts w:eastAsia="MS Mincho"/>
          <w:i/>
          <w:szCs w:val="20"/>
        </w:rPr>
        <w:t>Welfare State</w:t>
      </w:r>
      <w:r w:rsidRPr="00336A41">
        <w:rPr>
          <w:rFonts w:eastAsia="MS Mincho"/>
          <w:szCs w:val="20"/>
        </w:rPr>
        <w:t>;</w:t>
      </w:r>
    </w:p>
    <w:p w14:paraId="2F43B3AF" w14:textId="77777777" w:rsidR="00336A41" w:rsidRPr="00336A41" w:rsidRDefault="00336A41" w:rsidP="00336A41">
      <w:pPr>
        <w:numPr>
          <w:ilvl w:val="0"/>
          <w:numId w:val="1"/>
        </w:numPr>
        <w:tabs>
          <w:tab w:val="clear" w:pos="284"/>
        </w:tabs>
        <w:suppressAutoHyphens/>
        <w:ind w:left="360"/>
        <w:rPr>
          <w:szCs w:val="20"/>
        </w:rPr>
      </w:pPr>
      <w:r w:rsidRPr="00336A41">
        <w:rPr>
          <w:rFonts w:eastAsia="MS Mincho"/>
          <w:szCs w:val="20"/>
        </w:rPr>
        <w:t>comprendere i tratti principali dell’evoluzione dell’economia e della politica economica italiana dal secondo dopoguerra ai nostri giorni, all’interno del contesto europeo.</w:t>
      </w:r>
    </w:p>
    <w:p w14:paraId="490C1CBC" w14:textId="77777777" w:rsidR="00336A41" w:rsidRPr="00336A41" w:rsidRDefault="00336A41" w:rsidP="00336A41">
      <w:pPr>
        <w:spacing w:before="240" w:after="120"/>
        <w:rPr>
          <w:b/>
          <w:sz w:val="18"/>
        </w:rPr>
      </w:pPr>
      <w:r w:rsidRPr="00336A41">
        <w:rPr>
          <w:b/>
          <w:i/>
          <w:sz w:val="18"/>
        </w:rPr>
        <w:t>PROGRAMMA DEL CORSO</w:t>
      </w:r>
    </w:p>
    <w:p w14:paraId="51A175CC" w14:textId="5D25A9BB" w:rsidR="00336A41" w:rsidRDefault="00336A41" w:rsidP="00336A41">
      <w:pPr>
        <w:rPr>
          <w:szCs w:val="20"/>
        </w:rPr>
      </w:pPr>
      <w:r w:rsidRPr="00336A41">
        <w:rPr>
          <w:szCs w:val="20"/>
        </w:rPr>
        <w:t>Il settore pubblico in un’economia mista. L’efficienza del mercato. I fallimenti del mercato. Efficienza ed equità. Beni pubblici e esternalità. Le scelte pubbliche micro e macroeconomiche. La politica di bilancio. La politica monetaria. Il welfare state. Evoluzione e specificità dell’economia italiana e della politica economica italiana dal secondo dopoguerra ai nostri giorni.</w:t>
      </w:r>
    </w:p>
    <w:p w14:paraId="5B153D43" w14:textId="07341BD8" w:rsidR="001145A0" w:rsidRDefault="001145A0" w:rsidP="001145A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0F4B0C">
        <w:rPr>
          <w:rStyle w:val="Rimandonotaapidipagina"/>
          <w:b/>
          <w:i/>
          <w:sz w:val="18"/>
        </w:rPr>
        <w:footnoteReference w:id="1"/>
      </w:r>
    </w:p>
    <w:p w14:paraId="70AEA018" w14:textId="77777777" w:rsidR="001145A0" w:rsidRDefault="001145A0" w:rsidP="001145A0">
      <w:pPr>
        <w:pStyle w:val="Testo1"/>
        <w:spacing w:before="0"/>
        <w:rPr>
          <w:szCs w:val="18"/>
        </w:rPr>
      </w:pPr>
      <w:r>
        <w:t xml:space="preserve">Una bibliografia dettagliata verrà fornita dal docente all’inizio del corso. </w:t>
      </w:r>
    </w:p>
    <w:p w14:paraId="7640AD01" w14:textId="77777777" w:rsidR="001145A0" w:rsidRPr="001145A0" w:rsidRDefault="001145A0" w:rsidP="001145A0">
      <w:pPr>
        <w:pStyle w:val="Testo1"/>
        <w:spacing w:before="0"/>
        <w:rPr>
          <w:szCs w:val="18"/>
        </w:rPr>
      </w:pPr>
      <w:r>
        <w:t xml:space="preserve">Eventuale </w:t>
      </w:r>
      <w:r w:rsidRPr="001145A0">
        <w:rPr>
          <w:szCs w:val="18"/>
        </w:rPr>
        <w:t xml:space="preserve">materiale integrativo sarà messo a disposizione nel sito </w:t>
      </w:r>
      <w:r w:rsidRPr="001145A0">
        <w:rPr>
          <w:i/>
          <w:szCs w:val="18"/>
        </w:rPr>
        <w:t>Blackboard</w:t>
      </w:r>
      <w:r w:rsidRPr="001145A0">
        <w:rPr>
          <w:szCs w:val="18"/>
        </w:rPr>
        <w:t xml:space="preserve"> del corso e sul sito del docente: </w:t>
      </w:r>
      <w:hyperlink r:id="rId9">
        <w:r w:rsidRPr="001145A0">
          <w:rPr>
            <w:rStyle w:val="CollegamentoInternet"/>
            <w:rFonts w:ascii="Times New Roman" w:hAnsi="Times New Roman"/>
            <w:color w:val="auto"/>
            <w:szCs w:val="18"/>
            <w:u w:val="none"/>
          </w:rPr>
          <w:t>www.grarchive.net</w:t>
        </w:r>
      </w:hyperlink>
      <w:r w:rsidRPr="001145A0">
        <w:rPr>
          <w:szCs w:val="18"/>
        </w:rPr>
        <w:t xml:space="preserve"> </w:t>
      </w:r>
    </w:p>
    <w:p w14:paraId="08ED5184" w14:textId="62DFE8A3" w:rsidR="00336A41" w:rsidRPr="00336A41" w:rsidRDefault="001145A0" w:rsidP="001145A0">
      <w:pPr>
        <w:spacing w:before="240" w:after="120"/>
        <w:rPr>
          <w:szCs w:val="20"/>
        </w:rPr>
      </w:pPr>
      <w:r>
        <w:rPr>
          <w:b/>
          <w:i/>
          <w:sz w:val="18"/>
        </w:rPr>
        <w:t>DIDATTICA DEL CORSO</w:t>
      </w:r>
    </w:p>
    <w:p w14:paraId="39DD77EB" w14:textId="77777777" w:rsidR="001145A0" w:rsidRPr="001145A0" w:rsidRDefault="001145A0" w:rsidP="001145A0">
      <w:pPr>
        <w:pStyle w:val="Testo2"/>
      </w:pPr>
      <w:r w:rsidRPr="001145A0">
        <w:t>Lezioni in aula per 35 ore.</w:t>
      </w:r>
    </w:p>
    <w:p w14:paraId="4B18BE87" w14:textId="77777777" w:rsidR="001145A0" w:rsidRDefault="001145A0" w:rsidP="001145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BE95AE0" w14:textId="03BFA7C3" w:rsidR="001145A0" w:rsidRPr="001145A0" w:rsidRDefault="001145A0" w:rsidP="001145A0">
      <w:pPr>
        <w:pStyle w:val="Testo2"/>
      </w:pPr>
      <w:r w:rsidRPr="001145A0">
        <w:t>Prova scritta. La prova consta di prassi di cinque domande. Tre domande mirano ad accertare la conoscenza, da parte dello studente, delle nozioni fondamentali di politica economica e a verificarne la capacità di stabilire connessioni tra le nozioni apprese; una quarta domanda mira a verificare la capacità dello studente di utilizzare il ragionamento economico per affrontare un problema di policy; la quinta domanda mira a verificare la capacità dello studente di riconoscere se un interlocutore, nell’affrontare un determinato problema di policy, usa in modo appropriato o improprio il ragionamento economico.</w:t>
      </w:r>
    </w:p>
    <w:p w14:paraId="5250241B" w14:textId="77777777" w:rsidR="001145A0" w:rsidRPr="001145A0" w:rsidRDefault="001145A0" w:rsidP="001145A0">
      <w:pPr>
        <w:pStyle w:val="Testo2"/>
      </w:pPr>
      <w:r w:rsidRPr="001145A0">
        <w:t>Per superare l’esame lo studente deve essere in grado di rispondere con sufficienza ad almeno tre delle cinque domande.</w:t>
      </w:r>
    </w:p>
    <w:p w14:paraId="264EB984" w14:textId="77777777" w:rsidR="001145A0" w:rsidRDefault="001145A0" w:rsidP="001145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CA42600" w14:textId="77777777" w:rsidR="001145A0" w:rsidRPr="001145A0" w:rsidRDefault="001145A0" w:rsidP="001145A0">
      <w:pPr>
        <w:pStyle w:val="Testo2"/>
        <w:rPr>
          <w:rFonts w:eastAsia="MS Mincho"/>
          <w:i/>
          <w:iCs/>
        </w:rPr>
      </w:pPr>
      <w:r w:rsidRPr="001145A0">
        <w:rPr>
          <w:rFonts w:eastAsia="MS Mincho"/>
          <w:i/>
          <w:iCs/>
        </w:rPr>
        <w:t>Propedeuticità</w:t>
      </w:r>
    </w:p>
    <w:p w14:paraId="60529854" w14:textId="77777777" w:rsidR="001145A0" w:rsidRDefault="001145A0" w:rsidP="001145A0">
      <w:pPr>
        <w:pStyle w:val="Testo2"/>
        <w:rPr>
          <w:rFonts w:eastAsia="MS Mincho"/>
        </w:rPr>
      </w:pPr>
      <w:r>
        <w:rPr>
          <w:rFonts w:eastAsia="MS Mincho"/>
        </w:rPr>
        <w:t>Tutti i contenuti dei corsi di Matematica generale, Economia Politica 1 ed Economia Politica 2 sono propedeutici all’insegnamento di Politica Economica.</w:t>
      </w:r>
    </w:p>
    <w:p w14:paraId="0A6AA0D5" w14:textId="77777777" w:rsidR="001145A0" w:rsidRDefault="001145A0" w:rsidP="001145A0">
      <w:pPr>
        <w:pStyle w:val="Testo2"/>
        <w:spacing w:before="120"/>
        <w:rPr>
          <w:rFonts w:eastAsia="MS Mincho"/>
        </w:rPr>
      </w:pPr>
      <w:r>
        <w:rPr>
          <w:rFonts w:eastAsia="MS Mincho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1145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02B37" w14:textId="77777777" w:rsidR="000F4B0C" w:rsidRDefault="000F4B0C" w:rsidP="000F4B0C">
      <w:pPr>
        <w:spacing w:line="240" w:lineRule="auto"/>
      </w:pPr>
      <w:r>
        <w:separator/>
      </w:r>
    </w:p>
  </w:endnote>
  <w:endnote w:type="continuationSeparator" w:id="0">
    <w:p w14:paraId="57F02EBC" w14:textId="77777777" w:rsidR="000F4B0C" w:rsidRDefault="000F4B0C" w:rsidP="000F4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E5AE0" w14:textId="77777777" w:rsidR="000F4B0C" w:rsidRDefault="000F4B0C" w:rsidP="000F4B0C">
      <w:pPr>
        <w:spacing w:line="240" w:lineRule="auto"/>
      </w:pPr>
      <w:r>
        <w:separator/>
      </w:r>
    </w:p>
  </w:footnote>
  <w:footnote w:type="continuationSeparator" w:id="0">
    <w:p w14:paraId="007F9FA7" w14:textId="77777777" w:rsidR="000F4B0C" w:rsidRDefault="000F4B0C" w:rsidP="000F4B0C">
      <w:pPr>
        <w:spacing w:line="240" w:lineRule="auto"/>
      </w:pPr>
      <w:r>
        <w:continuationSeparator/>
      </w:r>
    </w:p>
  </w:footnote>
  <w:footnote w:id="1">
    <w:p w14:paraId="751CF04D" w14:textId="5FBF12BF" w:rsidR="000F4B0C" w:rsidRDefault="000F4B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882"/>
    <w:multiLevelType w:val="multilevel"/>
    <w:tmpl w:val="A792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93"/>
    <w:rsid w:val="000F4B0C"/>
    <w:rsid w:val="001145A0"/>
    <w:rsid w:val="00187B99"/>
    <w:rsid w:val="002014DD"/>
    <w:rsid w:val="00216C93"/>
    <w:rsid w:val="002D5E17"/>
    <w:rsid w:val="00336A41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B730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36A41"/>
    <w:pPr>
      <w:ind w:left="720"/>
      <w:contextualSpacing/>
    </w:pPr>
  </w:style>
  <w:style w:type="character" w:customStyle="1" w:styleId="CollegamentoInternet">
    <w:name w:val="Collegamento Internet"/>
    <w:rsid w:val="001145A0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rsid w:val="000F4B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0C"/>
  </w:style>
  <w:style w:type="character" w:styleId="Rimandonotaapidipagina">
    <w:name w:val="footnote reference"/>
    <w:basedOn w:val="Carpredefinitoparagrafo"/>
    <w:rsid w:val="000F4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6A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36A41"/>
    <w:pPr>
      <w:ind w:left="720"/>
      <w:contextualSpacing/>
    </w:pPr>
  </w:style>
  <w:style w:type="character" w:customStyle="1" w:styleId="CollegamentoInternet">
    <w:name w:val="Collegamento Internet"/>
    <w:rsid w:val="001145A0"/>
    <w:rPr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rsid w:val="000F4B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4B0C"/>
  </w:style>
  <w:style w:type="character" w:styleId="Rimandonotaapidipagina">
    <w:name w:val="footnote reference"/>
    <w:basedOn w:val="Carpredefinitoparagrafo"/>
    <w:rsid w:val="000F4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rarchiv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7B5F-B79F-4D41-80BE-5765188B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495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2022-06-08T09:25:00Z</dcterms:created>
  <dcterms:modified xsi:type="dcterms:W3CDTF">2022-07-13T07:19:00Z</dcterms:modified>
</cp:coreProperties>
</file>