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D7E7" w14:textId="77777777" w:rsidR="000850BF" w:rsidRPr="000850BF" w:rsidRDefault="000850BF" w:rsidP="000850BF">
      <w:pPr>
        <w:pStyle w:val="Titolo1"/>
      </w:pPr>
      <w:r w:rsidRPr="000850BF">
        <w:t>Matematica attuariale</w:t>
      </w:r>
    </w:p>
    <w:p w14:paraId="48E49EAC" w14:textId="30890030" w:rsidR="000850BF" w:rsidRDefault="000850BF" w:rsidP="000850BF">
      <w:pPr>
        <w:pStyle w:val="Titolo2"/>
      </w:pPr>
      <w:r w:rsidRPr="000850BF">
        <w:t xml:space="preserve">Prof. </w:t>
      </w:r>
      <w:r w:rsidR="00C80E00">
        <w:t>Francesco Della Corte</w:t>
      </w:r>
      <w:r w:rsidRPr="000850BF">
        <w:t>; Prof. Gian Paolo Clemente</w:t>
      </w:r>
    </w:p>
    <w:p w14:paraId="05A7F997" w14:textId="358C5C33" w:rsidR="000850BF" w:rsidRPr="004C4720" w:rsidRDefault="000850BF" w:rsidP="000850BF">
      <w:pPr>
        <w:pStyle w:val="Titolo3"/>
        <w:spacing w:after="0"/>
        <w:rPr>
          <w:i w:val="0"/>
          <w:sz w:val="20"/>
        </w:rPr>
      </w:pPr>
      <w:r w:rsidRPr="11289071">
        <w:rPr>
          <w:rFonts w:ascii="Times New Roman" w:hAnsi="Times New Roman"/>
          <w:i w:val="0"/>
          <w:caps w:val="0"/>
          <w:smallCaps/>
        </w:rPr>
        <w:t>Modulo vita (Assicurazione vita):</w:t>
      </w:r>
      <w:r w:rsidR="00B7200C">
        <w:rPr>
          <w:rFonts w:ascii="Times New Roman" w:hAnsi="Times New Roman"/>
          <w:i w:val="0"/>
          <w:caps w:val="0"/>
          <w:smallCaps/>
        </w:rPr>
        <w:t xml:space="preserve"> </w:t>
      </w:r>
      <w:r w:rsidRPr="00B7200C">
        <w:rPr>
          <w:caps w:val="0"/>
          <w:sz w:val="20"/>
        </w:rPr>
        <w:t xml:space="preserve">Prof. </w:t>
      </w:r>
      <w:r w:rsidR="00C80E00">
        <w:rPr>
          <w:caps w:val="0"/>
          <w:sz w:val="20"/>
        </w:rPr>
        <w:t>Francesco Della Corte</w:t>
      </w:r>
    </w:p>
    <w:p w14:paraId="181EC5D0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9779A0" w14:textId="77777777" w:rsidR="000850BF" w:rsidRDefault="000850BF" w:rsidP="000850BF">
      <w:r>
        <w:t>In questo corso si sviluppano i metodi matematici per formalizzare i contratti assicurativi sulla durata di vita. Lo studente apprenderà gli strumenti di calcolo per prezzare i prodotti e valutare gli impegni di assicurato e assicuratore mediante valore attuariale in un contesto di mercato in equilibrio.</w:t>
      </w:r>
    </w:p>
    <w:p w14:paraId="2121F0C1" w14:textId="77777777"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onoscenze e comprensione</w:t>
      </w:r>
    </w:p>
    <w:p w14:paraId="2E1DD8E2" w14:textId="77777777" w:rsidR="000850BF" w:rsidRDefault="000850BF" w:rsidP="000850BF">
      <w:r>
        <w:t>Al termine del Corso gli studenti devono aver acquisito le nozioni di base sulla rappresentazione della durata di vita e dei bisogni da assicurare che ad essa corrispondono.</w:t>
      </w:r>
    </w:p>
    <w:p w14:paraId="4A16157E" w14:textId="77777777"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apacita’ di applicare conoscenze e comprensione</w:t>
      </w:r>
    </w:p>
    <w:p w14:paraId="4C434FE0" w14:textId="77777777" w:rsidR="000850BF" w:rsidRDefault="000850BF" w:rsidP="00B7200C">
      <w:r>
        <w:t>Devono essere in grado di comunicare le caratteristiche del rischio associato alla sopravvivenza e descrivere le proprietà dei prodotti classici offerti sul mercato.</w:t>
      </w:r>
    </w:p>
    <w:p w14:paraId="4D5C1AB1" w14:textId="77777777" w:rsidR="000850BF" w:rsidRDefault="000850BF" w:rsidP="00B7200C">
      <w:r>
        <w:t>Dovranno inoltre saper distinguere le condizioni di equilibrio tra assicurato e assicuratore verso la successiva collocazione a bilancio.</w:t>
      </w:r>
    </w:p>
    <w:p w14:paraId="6178DBBB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927032" w14:textId="77777777" w:rsidR="000850BF" w:rsidRDefault="000850BF" w:rsidP="000850BF">
      <w:pPr>
        <w:ind w:left="284" w:hanging="284"/>
      </w:pPr>
      <w:r>
        <w:t>–</w:t>
      </w:r>
      <w:r>
        <w:rPr>
          <w:i/>
        </w:rPr>
        <w:tab/>
      </w:r>
      <w:r w:rsidRPr="0047700B">
        <w:rPr>
          <w:i/>
        </w:rPr>
        <w:t>Le principali funzioni biometriche</w:t>
      </w:r>
      <w:r>
        <w:t>: funzioni biometriche - funzioni di sopravvivenza - tavole di mortalità.</w:t>
      </w:r>
    </w:p>
    <w:p w14:paraId="30E71125" w14:textId="77777777" w:rsidR="000850BF" w:rsidRDefault="000850BF" w:rsidP="000850BF">
      <w:pPr>
        <w:ind w:left="284"/>
      </w:pPr>
      <w:r>
        <w:t>È possibile assegnare probabilità di vita e di decesso a partire dalle rilevazioni statistiche sul numero di viventi di una popolazione.</w:t>
      </w:r>
    </w:p>
    <w:p w14:paraId="6E68CE3F" w14:textId="01AF6CA6" w:rsidR="000850BF" w:rsidRDefault="000850BF" w:rsidP="000850BF">
      <w:pPr>
        <w:ind w:left="284" w:hanging="284"/>
      </w:pPr>
      <w:r>
        <w:rPr>
          <w:i/>
        </w:rPr>
        <w:t>–</w:t>
      </w:r>
      <w:r>
        <w:rPr>
          <w:i/>
        </w:rPr>
        <w:tab/>
        <w:t>Contratti assicurativi vita tradizionali</w:t>
      </w:r>
      <w:r>
        <w:t>: basi tecniche - assicurazioni in caso di sopravvivenza - in caso di morte e miste per individui singoli</w:t>
      </w:r>
      <w:r w:rsidR="00E06676">
        <w:t>.</w:t>
      </w:r>
    </w:p>
    <w:p w14:paraId="45BD31BC" w14:textId="77777777" w:rsidR="000850BF" w:rsidRDefault="000850BF" w:rsidP="000850BF">
      <w:pPr>
        <w:ind w:left="284"/>
      </w:pPr>
      <w:r>
        <w:t>Si affronta la quantificazione degli impegni dell’Impresa di Assicurazione, tenendo conto del contesto demografico e finanziario.</w:t>
      </w:r>
    </w:p>
    <w:p w14:paraId="0629D40A" w14:textId="568BE4EE" w:rsidR="000850BF" w:rsidRDefault="000850BF" w:rsidP="000850BF">
      <w:pPr>
        <w:ind w:left="284" w:hanging="284"/>
      </w:pPr>
      <w:r>
        <w:t>–</w:t>
      </w:r>
      <w:r>
        <w:rPr>
          <w:i/>
        </w:rPr>
        <w:tab/>
        <w:t xml:space="preserve">Assicurazioni di rendita. </w:t>
      </w:r>
      <w:r>
        <w:t>Valore attuariale di una rendita vitalizia per individui singoli - le rendite nei prodotti previdenziali.</w:t>
      </w:r>
    </w:p>
    <w:p w14:paraId="6EF6210A" w14:textId="77777777" w:rsidR="000850BF" w:rsidRDefault="000850BF" w:rsidP="000850BF">
      <w:pPr>
        <w:ind w:left="284" w:hanging="284"/>
      </w:pPr>
      <w:r>
        <w:t>–</w:t>
      </w:r>
      <w:r>
        <w:tab/>
      </w:r>
      <w:r>
        <w:rPr>
          <w:i/>
        </w:rPr>
        <w:t>Premi per i contratti vita</w:t>
      </w:r>
      <w:r>
        <w:t>: modalità di calcolo dei premi, caricamenti e premi di tariffa - controassicurazione.</w:t>
      </w:r>
    </w:p>
    <w:p w14:paraId="735E75B7" w14:textId="77777777" w:rsidR="000850BF" w:rsidRDefault="000850BF" w:rsidP="000850BF">
      <w:pPr>
        <w:ind w:left="284"/>
      </w:pPr>
      <w:r>
        <w:t>Lo studente impara ad affiancare alla prestazione dell’Impresa di Assicurazione anche la controprestazione del contraente.</w:t>
      </w:r>
    </w:p>
    <w:p w14:paraId="09D6DBB4" w14:textId="60ED29AB" w:rsidR="000850BF" w:rsidRDefault="000850BF" w:rsidP="00E06676">
      <w:pPr>
        <w:ind w:left="284" w:hanging="284"/>
      </w:pPr>
      <w:r>
        <w:lastRenderedPageBreak/>
        <w:t>–</w:t>
      </w:r>
      <w:r>
        <w:tab/>
      </w:r>
      <w:r w:rsidR="00B12D2D">
        <w:t>P</w:t>
      </w:r>
      <w:r w:rsidR="00B12D2D">
        <w:rPr>
          <w:i/>
        </w:rPr>
        <w:t>remi di rischio e di risparmio e f</w:t>
      </w:r>
      <w:r>
        <w:rPr>
          <w:i/>
        </w:rPr>
        <w:t>ormazione della riserva matematica</w:t>
      </w:r>
      <w:r w:rsidR="00BC779B">
        <w:rPr>
          <w:i/>
        </w:rPr>
        <w:t xml:space="preserve"> in contesto Local GAAP</w:t>
      </w:r>
      <w:r>
        <w:t>: riserva prospettiva, retrospettiva e ricorrente - premio di rischio e di risparmio.</w:t>
      </w:r>
    </w:p>
    <w:p w14:paraId="428B5A75" w14:textId="26B4B782" w:rsidR="00B7469F" w:rsidRDefault="000850BF" w:rsidP="00E06676">
      <w:pPr>
        <w:ind w:left="284"/>
      </w:pPr>
      <w:r>
        <w:t>Messa in evidenza la diversa cadenza temporale dell’impegno dell’Impresa di Assicurazione e del pagamento dei premi, fissate le basi tecniche, lo studente impara a valutare l’accantonamento a riserva.</w:t>
      </w:r>
    </w:p>
    <w:p w14:paraId="19018E9E" w14:textId="080609A5" w:rsidR="00B7469F" w:rsidRDefault="00B7469F" w:rsidP="00E06676">
      <w:pPr>
        <w:ind w:left="284" w:hanging="284"/>
      </w:pPr>
      <w:r>
        <w:t>–</w:t>
      </w:r>
      <w:r>
        <w:tab/>
      </w:r>
      <w:r>
        <w:rPr>
          <w:i/>
        </w:rPr>
        <w:t>Tavole selezionate e tavole proiettate</w:t>
      </w:r>
      <w:r>
        <w:t>: costruzione di tavole di mortalità sia differenziate all’interno di un periodo di selezione, sia che considerino i trend delle probabilità di decesso.</w:t>
      </w:r>
    </w:p>
    <w:p w14:paraId="7DF0B3F7" w14:textId="57714359" w:rsidR="00B7469F" w:rsidRDefault="00B7469F" w:rsidP="00E06676">
      <w:pPr>
        <w:ind w:left="284"/>
      </w:pPr>
      <w:r>
        <w:t xml:space="preserve">Lo studente impara quindi </w:t>
      </w:r>
      <w:r w:rsidR="00D62A45">
        <w:t>a costruire le suddette tavole utilizzando modelli</w:t>
      </w:r>
      <w:r w:rsidR="00E06676">
        <w:t xml:space="preserve"> deterministici</w:t>
      </w:r>
      <w:r w:rsidR="00D62A45">
        <w:t xml:space="preserve"> atti alla proiezione di scenari demografici.</w:t>
      </w:r>
    </w:p>
    <w:p w14:paraId="1B9FF864" w14:textId="5A077E35" w:rsidR="000850BF" w:rsidRDefault="000850BF" w:rsidP="00E06676">
      <w:pPr>
        <w:tabs>
          <w:tab w:val="left" w:pos="284"/>
        </w:tabs>
      </w:pPr>
      <w:r>
        <w:t>–</w:t>
      </w:r>
      <w:r>
        <w:tab/>
      </w:r>
      <w:r w:rsidRPr="000E031C">
        <w:rPr>
          <w:i/>
        </w:rPr>
        <w:t>Polizze flessibili</w:t>
      </w:r>
      <w:r>
        <w:t>:</w:t>
      </w:r>
      <w:r w:rsidR="001D52EA">
        <w:t xml:space="preserve"> </w:t>
      </w:r>
      <w:r>
        <w:t xml:space="preserve">assicurazioni indicizzate - polizze </w:t>
      </w:r>
      <w:proofErr w:type="spellStart"/>
      <w:r>
        <w:t>linked</w:t>
      </w:r>
      <w:proofErr w:type="spellEnd"/>
      <w:r>
        <w:t>.</w:t>
      </w:r>
    </w:p>
    <w:p w14:paraId="6308D13E" w14:textId="27773BC0" w:rsidR="000850BF" w:rsidRDefault="00D62A45" w:rsidP="00E06676">
      <w:pPr>
        <w:ind w:left="284"/>
      </w:pPr>
      <w:r>
        <w:t xml:space="preserve">Allo studente viene proposta una panoramica della market consistent valuation e della necessità di saper prezzare, sotto ipotesi di non arbitraggio, contratti derivati elementari. A tal fine, lo studente sarà in grado di prezzare opzioni put e call in un contesto discretizzato utilizzando il modello di </w:t>
      </w:r>
      <w:r w:rsidR="000C0940">
        <w:t>Cox-Ross-Rubinstein</w:t>
      </w:r>
      <w:r w:rsidR="000850BF">
        <w:t>.</w:t>
      </w:r>
    </w:p>
    <w:p w14:paraId="64502B36" w14:textId="535E4B1F" w:rsidR="000850BF" w:rsidRPr="00B7200C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70E3">
        <w:rPr>
          <w:rStyle w:val="Rimandonotaapidipagina"/>
          <w:b/>
          <w:i/>
          <w:sz w:val="18"/>
        </w:rPr>
        <w:footnoteReference w:id="1"/>
      </w:r>
    </w:p>
    <w:p w14:paraId="7296A1D6" w14:textId="6E004697" w:rsidR="000850BF" w:rsidRDefault="000850BF" w:rsidP="00B7200C">
      <w:pPr>
        <w:pStyle w:val="Testo1"/>
      </w:pPr>
      <w:r>
        <w:t>Testo adottato</w:t>
      </w:r>
    </w:p>
    <w:p w14:paraId="1BA109D1" w14:textId="07A3B7F4" w:rsidR="000C0940" w:rsidRDefault="000C0940" w:rsidP="001B061C">
      <w:pPr>
        <w:pStyle w:val="Testo1"/>
        <w:spacing w:before="0"/>
      </w:pPr>
      <w:r w:rsidRPr="003539D4">
        <w:t>Materiale di supporto disponibile on-line sulla piattaforma Blackboard.</w:t>
      </w:r>
    </w:p>
    <w:p w14:paraId="2CC64A9F" w14:textId="0DABD38E" w:rsidR="000C0940" w:rsidRPr="000850BF" w:rsidRDefault="000C0940" w:rsidP="000C0940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E. Pitacco,</w:t>
      </w:r>
      <w:r w:rsidRPr="000850BF">
        <w:rPr>
          <w:i/>
          <w:spacing w:val="-5"/>
        </w:rPr>
        <w:t xml:space="preserve"> </w:t>
      </w:r>
      <w:r w:rsidR="0041790F" w:rsidRPr="0041790F">
        <w:rPr>
          <w:i/>
          <w:spacing w:val="-5"/>
        </w:rPr>
        <w:t>Matematica e tecnica delle assicurazioni sulla durata di vita</w:t>
      </w:r>
      <w:r w:rsidRPr="000850BF">
        <w:rPr>
          <w:spacing w:val="-5"/>
        </w:rPr>
        <w:t>, Trieste.</w:t>
      </w:r>
    </w:p>
    <w:p w14:paraId="4E297BE5" w14:textId="6D140084" w:rsidR="000C0940" w:rsidRDefault="000C0940" w:rsidP="000C0940">
      <w:pPr>
        <w:pStyle w:val="Testo1"/>
        <w:spacing w:before="0"/>
      </w:pPr>
      <w:r w:rsidRPr="003539D4">
        <w:t>Letture di approfondimento saranno indicate durante il corso.</w:t>
      </w:r>
    </w:p>
    <w:p w14:paraId="3364B19A" w14:textId="77777777" w:rsidR="000C0940" w:rsidRDefault="000C0940" w:rsidP="000C0940">
      <w:pPr>
        <w:pStyle w:val="Testo1"/>
        <w:spacing w:before="0"/>
      </w:pPr>
    </w:p>
    <w:p w14:paraId="0CA69FC4" w14:textId="5A85FC64" w:rsidR="000850BF" w:rsidRDefault="000C0940" w:rsidP="001B061C">
      <w:pPr>
        <w:pStyle w:val="Testo1"/>
      </w:pPr>
      <w:r>
        <w:t>Possibili letture di approfondimento</w:t>
      </w:r>
    </w:p>
    <w:p w14:paraId="27A1FA9A" w14:textId="3B57CF91" w:rsidR="000C0940" w:rsidRPr="001B061C" w:rsidRDefault="000C0940" w:rsidP="001B061C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P. Mazzoleni,</w:t>
      </w:r>
      <w:r>
        <w:rPr>
          <w:smallCaps/>
          <w:spacing w:val="-5"/>
          <w:sz w:val="16"/>
        </w:rPr>
        <w:t xml:space="preserve"> </w:t>
      </w:r>
      <w:r w:rsidRPr="000850BF">
        <w:rPr>
          <w:i/>
          <w:spacing w:val="-5"/>
        </w:rPr>
        <w:t>Matematica attuariale - assicurazioni sulla vita,</w:t>
      </w:r>
      <w:r w:rsidRPr="000850BF">
        <w:rPr>
          <w:spacing w:val="-5"/>
        </w:rPr>
        <w:t xml:space="preserve"> EDUCatt, 2014.</w:t>
      </w:r>
    </w:p>
    <w:p w14:paraId="70B14467" w14:textId="100270C6" w:rsidR="000C0940" w:rsidRPr="001B061C" w:rsidRDefault="000C0940" w:rsidP="000C0940">
      <w:pPr>
        <w:pStyle w:val="Testo1"/>
        <w:spacing w:before="0"/>
        <w:rPr>
          <w:lang w:val="en-GB"/>
        </w:rPr>
      </w:pPr>
      <w:r w:rsidRPr="001B061C">
        <w:rPr>
          <w:smallCaps/>
          <w:lang w:val="en-GB"/>
        </w:rPr>
        <w:t>E. Pitacco</w:t>
      </w:r>
      <w:r w:rsidRPr="001B061C">
        <w:rPr>
          <w:lang w:val="en-GB"/>
        </w:rPr>
        <w:t xml:space="preserve">, et al. </w:t>
      </w:r>
      <w:r w:rsidRPr="001B061C">
        <w:rPr>
          <w:i/>
          <w:iCs/>
          <w:lang w:val="en-GB"/>
        </w:rPr>
        <w:t>Modelling longevity dynamics for pensions and annuity business</w:t>
      </w:r>
      <w:r w:rsidRPr="001B061C">
        <w:rPr>
          <w:lang w:val="en-GB"/>
        </w:rPr>
        <w:t>. Oxford University Press, 2009.</w:t>
      </w:r>
    </w:p>
    <w:p w14:paraId="457C857E" w14:textId="54E3A6F5" w:rsidR="000C0940" w:rsidRPr="00B12D2D" w:rsidRDefault="000C0940" w:rsidP="000C0940">
      <w:pPr>
        <w:pStyle w:val="Testo1"/>
        <w:spacing w:before="0"/>
      </w:pPr>
      <w:r w:rsidRPr="001B061C">
        <w:rPr>
          <w:smallCaps/>
          <w:lang w:val="en-GB"/>
        </w:rPr>
        <w:t>S. Shreve</w:t>
      </w:r>
      <w:r>
        <w:rPr>
          <w:lang w:val="en-GB"/>
        </w:rPr>
        <w:t>,</w:t>
      </w:r>
      <w:r w:rsidRPr="001B061C">
        <w:rPr>
          <w:lang w:val="en-GB"/>
        </w:rPr>
        <w:t xml:space="preserve"> </w:t>
      </w:r>
      <w:r w:rsidRPr="001B061C">
        <w:rPr>
          <w:i/>
          <w:iCs/>
          <w:lang w:val="en-GB"/>
        </w:rPr>
        <w:t>Stochastic calculus for finance I: the binomial asset pricing model</w:t>
      </w:r>
      <w:r w:rsidRPr="001B061C">
        <w:rPr>
          <w:lang w:val="en-GB"/>
        </w:rPr>
        <w:t xml:space="preserve">. </w:t>
      </w:r>
      <w:r w:rsidRPr="00B12D2D">
        <w:t>Springer Science &amp; Business Media, 2005.</w:t>
      </w:r>
    </w:p>
    <w:p w14:paraId="6F4BDA06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F7FE62" w14:textId="77777777" w:rsidR="000850BF" w:rsidRPr="003539D4" w:rsidRDefault="000850BF" w:rsidP="000850BF">
      <w:pPr>
        <w:pStyle w:val="Testo2"/>
      </w:pPr>
      <w:r w:rsidRPr="003539D4">
        <w:t>Lezioni in aula.</w:t>
      </w:r>
    </w:p>
    <w:p w14:paraId="03E6C627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C98CA2" w14:textId="112D647D" w:rsidR="000C301B" w:rsidRDefault="000C301B" w:rsidP="000C301B">
      <w:pPr>
        <w:pStyle w:val="Testo2"/>
      </w:pPr>
      <w:r w:rsidRPr="0078691F">
        <w:t xml:space="preserve">La valutazione dello studente avviene </w:t>
      </w:r>
      <w:r>
        <w:t xml:space="preserve">tramite un test su Excel e successivamente tramite esame orale. L’accesso all’orale è condizionato al superamento del test. </w:t>
      </w:r>
    </w:p>
    <w:p w14:paraId="0724E026" w14:textId="77777777" w:rsidR="000C301B" w:rsidRPr="00E96C93" w:rsidRDefault="000C301B" w:rsidP="000C301B">
      <w:pPr>
        <w:pStyle w:val="Testo2"/>
        <w:ind w:firstLine="0"/>
      </w:pPr>
      <w:r w:rsidRPr="0078691F">
        <w:lastRenderedPageBreak/>
        <w:t>L’esame è volto a valutare capacità di ragionamento e rigore analitico sui temi oggetto del corso, nonché proprietà di linguaggio e abilità comunicative.</w:t>
      </w:r>
      <w:r>
        <w:t xml:space="preserve"> </w:t>
      </w:r>
      <w:r w:rsidRPr="00E96C93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35F1CF32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A69439" w14:textId="22355A9F" w:rsidR="000850BF" w:rsidRDefault="000850BF" w:rsidP="009E306B">
      <w:pPr>
        <w:rPr>
          <w:sz w:val="18"/>
        </w:rPr>
      </w:pPr>
      <w:r>
        <w:rPr>
          <w:sz w:val="18"/>
        </w:rPr>
        <w:t>Lo studente dovrà possedere le nozioni di base della Matematica Generale</w:t>
      </w:r>
      <w:r w:rsidR="00D86AFA">
        <w:rPr>
          <w:sz w:val="18"/>
        </w:rPr>
        <w:t xml:space="preserve">, </w:t>
      </w:r>
      <w:r>
        <w:rPr>
          <w:sz w:val="18"/>
        </w:rPr>
        <w:t>di Metodi Quantitativi per la Finanza I</w:t>
      </w:r>
      <w:r w:rsidR="00D86AFA">
        <w:rPr>
          <w:sz w:val="18"/>
        </w:rPr>
        <w:t xml:space="preserve"> e di Excel.</w:t>
      </w:r>
    </w:p>
    <w:p w14:paraId="49910721" w14:textId="77777777" w:rsidR="009E306B" w:rsidRDefault="009E306B" w:rsidP="009E306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BCB4E36" w14:textId="77777777" w:rsidR="000850BF" w:rsidRPr="00EA0B94" w:rsidRDefault="000850BF" w:rsidP="009E306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21844390" w14:textId="153999E6" w:rsidR="000850BF" w:rsidRDefault="000850BF" w:rsidP="000850BF">
      <w:pPr>
        <w:pStyle w:val="Testo2"/>
      </w:pPr>
      <w:r>
        <w:t xml:space="preserve">Il Prof. </w:t>
      </w:r>
      <w:r w:rsidR="000C301B">
        <w:t>Francesco Della Corte</w:t>
      </w:r>
      <w:r w:rsidR="00E06676">
        <w:t xml:space="preserve"> </w:t>
      </w:r>
      <w:r>
        <w:t>riceve gli studenti come da avviso pubblicato nella pagina web del docente.</w:t>
      </w:r>
    </w:p>
    <w:p w14:paraId="6A20ABE6" w14:textId="36246D20" w:rsidR="000850BF" w:rsidRDefault="000850BF" w:rsidP="000850BF">
      <w:pPr>
        <w:spacing w:before="240"/>
      </w:pPr>
      <w:r>
        <w:rPr>
          <w:smallCaps/>
          <w:sz w:val="18"/>
        </w:rPr>
        <w:t xml:space="preserve">Modulo danni (Assicurazione danni): </w:t>
      </w:r>
      <w:r w:rsidRPr="00B7200C">
        <w:rPr>
          <w:i/>
        </w:rPr>
        <w:t>Prof. Gian Paolo Clemente</w:t>
      </w:r>
    </w:p>
    <w:p w14:paraId="026F866D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84BE58" w14:textId="77777777" w:rsidR="000850BF" w:rsidRDefault="000850BF" w:rsidP="000850BF">
      <w:r w:rsidRPr="00537B3F">
        <w:rPr>
          <w:i/>
        </w:rPr>
        <w:t>Obiettivo</w:t>
      </w:r>
      <w:r>
        <w:t>:</w:t>
      </w:r>
    </w:p>
    <w:p w14:paraId="7E86F907" w14:textId="77777777" w:rsidR="000850BF" w:rsidRDefault="000850BF" w:rsidP="000850BF">
      <w:r>
        <w:t>Il corso si propone di fornire una rigorosa e sistematica trattazione dei problemi decisionali più significativi riguardanti le operazioni assicurative contro i danni.</w:t>
      </w:r>
    </w:p>
    <w:p w14:paraId="1B0C882F" w14:textId="77777777" w:rsidR="000850BF" w:rsidRDefault="000850BF" w:rsidP="000850BF">
      <w:r>
        <w:t xml:space="preserve">Nell’ambito del corso si affrontano i seguenti argomenti: le principali forme di copertura assicurativa contro i danni, la determinazione del premio equo, l’esigenza di un caricamento di sicurezza, i caricamenti per spese e la determinazione dei premi di tariffa, la personalizzazione a priori del premio, la personalizzazione a posteriori e i sistemi bonus-malus, le riserve tecniche, metodi statistico-attuariali per la determinazione delle riserve sinistri, la riassicurazione, la solvibilità. </w:t>
      </w:r>
    </w:p>
    <w:p w14:paraId="4AD12700" w14:textId="77777777" w:rsidR="000850BF" w:rsidRDefault="000850BF" w:rsidP="000850BF">
      <w:r w:rsidRPr="00537B3F">
        <w:rPr>
          <w:i/>
        </w:rPr>
        <w:t>Risultati attesi</w:t>
      </w:r>
      <w:r>
        <w:t>:</w:t>
      </w:r>
    </w:p>
    <w:p w14:paraId="54D2001E" w14:textId="061E1AB6" w:rsidR="000850BF" w:rsidRDefault="000850BF" w:rsidP="000850BF">
      <w:r>
        <w:t xml:space="preserve">Al termine dell’insegnamento, lo studente saprà determinare i premi di rischio e di tariffa per coperture assicurative danni. </w:t>
      </w:r>
      <w:r w:rsidRPr="00516D0C">
        <w:t>Conoscerà i principali metodi deterministici per la valutazione della riserva sinistri e saprà distinguere i punti di forza e di debolezza delle metodologie analizzate.</w:t>
      </w:r>
      <w:r>
        <w:t xml:space="preserve"> Infine, lo studente conoscerà le principali problematiche connesse all’esercizio dell’assicurazione danni necessarie per assicurare un corretto equilibrio tecnico e patrimoniale</w:t>
      </w:r>
    </w:p>
    <w:p w14:paraId="175B65ED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8620593" w14:textId="77777777" w:rsidR="000850BF" w:rsidRPr="00705745" w:rsidRDefault="000850BF" w:rsidP="00B7200C">
      <w:r w:rsidRPr="00705745">
        <w:t>Il corso tratterà i seguenti argomenti:</w:t>
      </w:r>
    </w:p>
    <w:p w14:paraId="537C8F06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lastRenderedPageBreak/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tipologia delle coperture assicurative contro i danni e le principali statistiche del mercato italiano. </w:t>
      </w:r>
      <w:r w:rsidR="000850BF" w:rsidRPr="00B7200C">
        <w:rPr>
          <w:iCs/>
        </w:rPr>
        <w:t>Verranno illustrate le principali tipologie di coperture assicurative, le principali clausole contrattuali e le principali tendenze del mercato assicurativo.</w:t>
      </w:r>
    </w:p>
    <w:p w14:paraId="6C87C2FA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determinazione del premio di rischio.</w:t>
      </w:r>
      <w:r w:rsidR="000850BF" w:rsidRPr="00B7200C">
        <w:rPr>
          <w:iCs/>
        </w:rPr>
        <w:t xml:space="preserve"> Verrà descritta la modalità di calcolo del premio di rischio mediante l’approccio empirico e l’impostazione teorica. Saranno introdotti i concetti di frequenza sinistri e costo medio. Sarà inoltre descritto il comportamento delle due grandezze nei principali rami assicurativi.</w:t>
      </w:r>
    </w:p>
    <w:p w14:paraId="2F4FDCF1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costruzione del premio di tariffa.</w:t>
      </w:r>
      <w:r w:rsidR="000850BF" w:rsidRPr="00B7200C">
        <w:rPr>
          <w:iCs/>
        </w:rPr>
        <w:t xml:space="preserve"> Si introdurrà il concetto di caricamento di sicurezza e di caricamento spese. Inoltre, verranno presentate le principali metodologie di calcolo del caricamento di sicurezza.</w:t>
      </w:r>
    </w:p>
    <w:p w14:paraId="25DBE796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personalizzazione del premio. </w:t>
      </w:r>
      <w:r w:rsidR="000850BF" w:rsidRPr="00B7200C">
        <w:rPr>
          <w:iCs/>
        </w:rPr>
        <w:t>Si procederà alla descrizione delle tecniche di personalizzazione a priori e a posteriori del premio. Particolare attenzione verrà prestata alle modalità di tariffazione nell’ambito del ramo Responsabilità Civile Auto (RC Auto).</w:t>
      </w:r>
    </w:p>
    <w:p w14:paraId="00503DC3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Indicatori della gestione tecnica. </w:t>
      </w:r>
      <w:r w:rsidR="000850BF" w:rsidRPr="00B7200C">
        <w:rPr>
          <w:iCs/>
        </w:rPr>
        <w:t>Verranno descritti i principali indicatori della gestione tecnica. Particolare attenzione sarà prestata alla definizione del Loss Ratio, Combined Ratio e Run-Off della riserva sinistri.</w:t>
      </w:r>
    </w:p>
    <w:p w14:paraId="215E1445" w14:textId="77777777" w:rsidR="000850BF" w:rsidRPr="00B7200C" w:rsidRDefault="00B7200C" w:rsidP="00B7200C">
      <w:pPr>
        <w:ind w:left="284" w:hanging="284"/>
        <w:rPr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Risarcimento diretto. </w:t>
      </w:r>
      <w:r w:rsidR="000850BF" w:rsidRPr="00B7200C">
        <w:rPr>
          <w:iCs/>
        </w:rPr>
        <w:t>Sarà illustrata la procedura di rimborso assicurativo, in vigore nel ramo RC Auto, e nota con la sigla CARD (Convenzione tra Assicuratori per il Risarcimento Diretto). Saranno inoltre descritte le principali rilevanze tecniche della convenzione e i possibili effetti sulla modalità di tariffazione.</w:t>
      </w:r>
    </w:p>
    <w:p w14:paraId="313C57E9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Le riserve tecniche. </w:t>
      </w:r>
      <w:r w:rsidR="000850BF" w:rsidRPr="00B7200C">
        <w:rPr>
          <w:iCs/>
        </w:rPr>
        <w:t xml:space="preserve">Verranno descritte le principali riserve tecniche previste nel bilancio civilistico delle assicurazioni danni. </w:t>
      </w:r>
    </w:p>
    <w:p w14:paraId="73055A63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Il calcolo della riserva premi nel bilancio contabile. </w:t>
      </w:r>
      <w:r w:rsidR="000850BF" w:rsidRPr="00B7200C">
        <w:rPr>
          <w:iCs/>
        </w:rPr>
        <w:t>Verrà illustrata la modalità di determinazione della riserva premi nell’ambito del bilancio civilistico. Particolare attenzione sarà prestata al calcolo della riserva frazioni premio, della riserva rischi in corso e delle riserve integrative.</w:t>
      </w:r>
    </w:p>
    <w:p w14:paraId="2F697284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Metodi statistico-attuariali per la valutazione delle riserve sinistri.</w:t>
      </w:r>
      <w:r w:rsidR="000850BF" w:rsidRPr="00B7200C">
        <w:rPr>
          <w:iCs/>
        </w:rPr>
        <w:t xml:space="preserve"> Verranno introdotte le principali metodologie statistico-attuariali per la valutazione della riserva sinistri. A questo scopo, sarà descritta la struttura triangolare tipicamente utilizzata in questo contesto. Infine, verranno descritte le metodologie Paid Chain-Ladder e Fisher-Lange, utilizzabili, per la valutazione della riserva sinistri.</w:t>
      </w:r>
    </w:p>
    <w:p w14:paraId="7B5AF0D1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ritenzione dei rischi e le modalità di riassicurazione. </w:t>
      </w:r>
      <w:r w:rsidR="000850BF" w:rsidRPr="00B7200C">
        <w:rPr>
          <w:iCs/>
        </w:rPr>
        <w:t>Si introdurranno le principali metodologie di ritenzione dei rischi. Verranno descritte le diverse forme riassicurative evidenziandone le principali caratteristiche.</w:t>
      </w:r>
    </w:p>
    <w:p w14:paraId="6AD56AF9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solvibilità dalle origini al progetto Solvency II. </w:t>
      </w:r>
      <w:r w:rsidR="000850BF" w:rsidRPr="00B7200C">
        <w:rPr>
          <w:iCs/>
        </w:rPr>
        <w:t xml:space="preserve">Verranno descritti i criteri per la valutazione della solvibilità di un’impresa di assicurazione. Sarà descritta </w:t>
      </w:r>
      <w:r w:rsidR="000850BF" w:rsidRPr="00B7200C">
        <w:rPr>
          <w:iCs/>
        </w:rPr>
        <w:lastRenderedPageBreak/>
        <w:t>l’evoluzione della normativa in materia dalle origini fino all’introduzione della direttiva Solvency II.</w:t>
      </w:r>
    </w:p>
    <w:p w14:paraId="1875C5C6" w14:textId="10BB3602" w:rsidR="000850BF" w:rsidRPr="000850BF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70E3">
        <w:rPr>
          <w:rStyle w:val="Rimandonotaapidipagina"/>
          <w:b/>
          <w:i/>
          <w:sz w:val="18"/>
        </w:rPr>
        <w:footnoteReference w:id="2"/>
      </w:r>
    </w:p>
    <w:p w14:paraId="79310562" w14:textId="77777777" w:rsidR="000850BF" w:rsidRPr="00B7200C" w:rsidRDefault="000850BF" w:rsidP="00B7200C">
      <w:pPr>
        <w:pStyle w:val="Testo1"/>
        <w:spacing w:before="0"/>
        <w:rPr>
          <w:rFonts w:eastAsia="MS Mincho"/>
        </w:rPr>
      </w:pPr>
      <w:r w:rsidRPr="00B7200C">
        <w:rPr>
          <w:rFonts w:eastAsia="MS Mincho"/>
        </w:rPr>
        <w:t>Materiale adottato:</w:t>
      </w:r>
    </w:p>
    <w:p w14:paraId="68A8733D" w14:textId="77777777" w:rsidR="000850BF" w:rsidRPr="00B7200C" w:rsidRDefault="000850BF" w:rsidP="00B7200C">
      <w:pPr>
        <w:pStyle w:val="Testo1"/>
        <w:spacing w:before="0"/>
      </w:pPr>
      <w:r w:rsidRPr="00B7200C">
        <w:t>Il principale riferimento bibliografico è tratto da:</w:t>
      </w:r>
    </w:p>
    <w:p w14:paraId="2159E811" w14:textId="77777777" w:rsidR="000850BF" w:rsidRPr="00B7200C" w:rsidRDefault="000850BF" w:rsidP="00B7200C">
      <w:pPr>
        <w:pStyle w:val="Testo1"/>
        <w:spacing w:before="0"/>
      </w:pPr>
      <w:r w:rsidRPr="005724A9">
        <w:rPr>
          <w:smallCaps/>
          <w:sz w:val="16"/>
        </w:rPr>
        <w:t>N. Savelli-G.P. Clemente</w:t>
      </w:r>
      <w:r w:rsidRPr="00B7200C">
        <w:t xml:space="preserve">, </w:t>
      </w:r>
      <w:r w:rsidRPr="005724A9">
        <w:rPr>
          <w:i/>
        </w:rPr>
        <w:t>Lezioni di Matematica Attuariale delle Assicurazioni Danni</w:t>
      </w:r>
      <w:r w:rsidRPr="00B7200C">
        <w:t>, Serie materiale e documenti, EDUCatt, Milano, 2014 (pp. 1-184).</w:t>
      </w:r>
    </w:p>
    <w:p w14:paraId="4334DC61" w14:textId="36ABD905" w:rsidR="00905DBE" w:rsidRPr="005724A9" w:rsidRDefault="000850BF" w:rsidP="005724A9">
      <w:pPr>
        <w:pStyle w:val="Testo1"/>
        <w:spacing w:before="0"/>
      </w:pPr>
      <w:r w:rsidRPr="00B7200C">
        <w:t>Materiale aggiuntivo (file excel di calcolo e pubblicazioni di mercato) verrà reso disponibile sulla piattaforma online blackboard</w:t>
      </w:r>
    </w:p>
    <w:p w14:paraId="5F7ACEB4" w14:textId="14EF8102" w:rsidR="000850BF" w:rsidRPr="00B7200C" w:rsidRDefault="000850BF" w:rsidP="005724A9">
      <w:pPr>
        <w:pStyle w:val="Testo1"/>
        <w:rPr>
          <w:rFonts w:eastAsia="MS Mincho"/>
        </w:rPr>
      </w:pPr>
      <w:r w:rsidRPr="00B7200C">
        <w:rPr>
          <w:rFonts w:eastAsia="MS Mincho"/>
        </w:rPr>
        <w:t>Possibili letture di approfondimento:</w:t>
      </w:r>
    </w:p>
    <w:p w14:paraId="0558B380" w14:textId="2E399D53" w:rsidR="000850BF" w:rsidRPr="00B7200C" w:rsidRDefault="00B7200C" w:rsidP="00B7200C">
      <w:pPr>
        <w:pStyle w:val="Testo1"/>
        <w:spacing w:before="0"/>
      </w:pPr>
      <w:r w:rsidRPr="005724A9">
        <w:rPr>
          <w:smallCaps/>
          <w:sz w:val="16"/>
        </w:rPr>
        <w:t>L. Daboni</w:t>
      </w:r>
      <w:r w:rsidR="000850BF" w:rsidRPr="00B7200C">
        <w:t xml:space="preserve">, </w:t>
      </w:r>
      <w:r w:rsidR="000850BF" w:rsidRPr="005724A9">
        <w:rPr>
          <w:i/>
        </w:rPr>
        <w:t>Lezioni di tecnica attuariale delle assicurazioni contro i danni</w:t>
      </w:r>
      <w:r w:rsidR="000850BF" w:rsidRPr="00B7200C">
        <w:t>, Lint, Trieste</w:t>
      </w:r>
      <w:r w:rsidR="005724A9">
        <w:t>, 1993</w:t>
      </w:r>
      <w:r>
        <w:t>.</w:t>
      </w:r>
    </w:p>
    <w:p w14:paraId="36EADC63" w14:textId="59203BE1" w:rsidR="000850BF" w:rsidRPr="00B7200C" w:rsidRDefault="00B7200C" w:rsidP="00B7200C">
      <w:pPr>
        <w:pStyle w:val="Testo1"/>
        <w:spacing w:before="0"/>
      </w:pPr>
      <w:r w:rsidRPr="005724A9">
        <w:rPr>
          <w:smallCaps/>
          <w:sz w:val="16"/>
        </w:rPr>
        <w:t xml:space="preserve">P. </w:t>
      </w:r>
      <w:r w:rsidR="000850BF" w:rsidRPr="005724A9">
        <w:rPr>
          <w:smallCaps/>
          <w:sz w:val="16"/>
        </w:rPr>
        <w:t>Gigante</w:t>
      </w:r>
      <w:r w:rsidRPr="005724A9">
        <w:rPr>
          <w:smallCaps/>
          <w:sz w:val="16"/>
        </w:rPr>
        <w:t xml:space="preserve">-L. </w:t>
      </w:r>
      <w:r w:rsidR="000850BF" w:rsidRPr="005724A9">
        <w:rPr>
          <w:smallCaps/>
          <w:sz w:val="16"/>
        </w:rPr>
        <w:t>Picech</w:t>
      </w:r>
      <w:r w:rsidRPr="005724A9">
        <w:rPr>
          <w:smallCaps/>
          <w:sz w:val="16"/>
        </w:rPr>
        <w:t>-</w:t>
      </w:r>
      <w:r w:rsidR="000850BF" w:rsidRPr="005724A9">
        <w:rPr>
          <w:smallCaps/>
          <w:sz w:val="16"/>
        </w:rPr>
        <w:t>L. Sigalotti</w:t>
      </w:r>
      <w:r w:rsidR="000850BF" w:rsidRPr="00B7200C">
        <w:t xml:space="preserve">, </w:t>
      </w:r>
      <w:r w:rsidR="000850BF" w:rsidRPr="005724A9">
        <w:rPr>
          <w:i/>
        </w:rPr>
        <w:t>La tariffazione nei rami danni con modelli lineari generalizzati</w:t>
      </w:r>
      <w:r w:rsidR="000850BF" w:rsidRPr="00B7200C">
        <w:t>, EUT (Cap. 1, Cap. 2)</w:t>
      </w:r>
      <w:r w:rsidR="005724A9">
        <w:t>, 2010</w:t>
      </w:r>
      <w:r>
        <w:t>.</w:t>
      </w:r>
    </w:p>
    <w:p w14:paraId="6B15A637" w14:textId="4133F758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S.A. </w:t>
      </w:r>
      <w:r w:rsidR="000850BF" w:rsidRPr="005724A9">
        <w:rPr>
          <w:smallCaps/>
          <w:sz w:val="16"/>
          <w:lang w:val="en-US"/>
        </w:rPr>
        <w:t>Klugman</w:t>
      </w:r>
      <w:r w:rsidRPr="005724A9">
        <w:rPr>
          <w:smallCaps/>
          <w:sz w:val="16"/>
          <w:lang w:val="en-US"/>
        </w:rPr>
        <w:t xml:space="preserve">-H.H. </w:t>
      </w:r>
      <w:r w:rsidR="000850BF" w:rsidRPr="005724A9">
        <w:rPr>
          <w:smallCaps/>
          <w:sz w:val="16"/>
          <w:lang w:val="en-US"/>
        </w:rPr>
        <w:t>Panjer</w:t>
      </w:r>
      <w:r w:rsidRPr="005724A9">
        <w:rPr>
          <w:smallCaps/>
          <w:sz w:val="16"/>
          <w:lang w:val="en-US"/>
        </w:rPr>
        <w:t xml:space="preserve">-G.E. </w:t>
      </w:r>
      <w:r w:rsidR="000850BF" w:rsidRPr="005724A9">
        <w:rPr>
          <w:smallCaps/>
          <w:sz w:val="16"/>
          <w:lang w:val="en-US"/>
        </w:rPr>
        <w:t>Willmot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Loss Models: From Data to Decisions</w:t>
      </w:r>
      <w:r w:rsidR="000850BF" w:rsidRPr="00B7200C">
        <w:rPr>
          <w:lang w:val="en-US"/>
        </w:rPr>
        <w:t>, 4th Edition, Wiley</w:t>
      </w:r>
      <w:r w:rsidR="005724A9">
        <w:rPr>
          <w:lang w:val="en-US"/>
        </w:rPr>
        <w:t>, 2012</w:t>
      </w:r>
      <w:r>
        <w:rPr>
          <w:lang w:val="en-US"/>
        </w:rPr>
        <w:t>.</w:t>
      </w:r>
    </w:p>
    <w:p w14:paraId="38968D88" w14:textId="22AB9D93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A. </w:t>
      </w:r>
      <w:r w:rsidR="000850BF" w:rsidRPr="005724A9">
        <w:rPr>
          <w:smallCaps/>
          <w:sz w:val="16"/>
          <w:lang w:val="en-US"/>
        </w:rPr>
        <w:t>Olivieri</w:t>
      </w:r>
      <w:r w:rsidRPr="005724A9">
        <w:rPr>
          <w:smallCaps/>
          <w:sz w:val="16"/>
          <w:lang w:val="en-US"/>
        </w:rPr>
        <w:t xml:space="preserve">-E. </w:t>
      </w:r>
      <w:r w:rsidR="000850BF" w:rsidRPr="005724A9">
        <w:rPr>
          <w:smallCaps/>
          <w:sz w:val="16"/>
          <w:lang w:val="en-US"/>
        </w:rPr>
        <w:t>Pitacco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Introduction to Insurance Mathematics. Technical and Financial Features of Risk Transfers</w:t>
      </w:r>
      <w:r w:rsidR="000850BF" w:rsidRPr="00B7200C">
        <w:rPr>
          <w:lang w:val="en-US"/>
        </w:rPr>
        <w:t>, Springer</w:t>
      </w:r>
      <w:r w:rsidR="005724A9">
        <w:rPr>
          <w:lang w:val="en-US"/>
        </w:rPr>
        <w:t>, 2010</w:t>
      </w:r>
      <w:r w:rsidRPr="00B7200C">
        <w:rPr>
          <w:lang w:val="en-US"/>
        </w:rPr>
        <w:t>.</w:t>
      </w:r>
    </w:p>
    <w:p w14:paraId="02C0767F" w14:textId="0A0E0FD2" w:rsidR="000850BF" w:rsidRPr="005724A9" w:rsidRDefault="00B7200C" w:rsidP="00B7200C">
      <w:pPr>
        <w:pStyle w:val="Testo1"/>
        <w:spacing w:before="0"/>
      </w:pPr>
      <w:r w:rsidRPr="005724A9">
        <w:rPr>
          <w:smallCaps/>
          <w:sz w:val="16"/>
        </w:rPr>
        <w:t xml:space="preserve">E. </w:t>
      </w:r>
      <w:r w:rsidR="000850BF" w:rsidRPr="005724A9">
        <w:rPr>
          <w:smallCaps/>
          <w:sz w:val="16"/>
        </w:rPr>
        <w:t>Pitacco</w:t>
      </w:r>
      <w:r w:rsidRPr="005724A9">
        <w:t xml:space="preserve">, </w:t>
      </w:r>
      <w:r w:rsidR="000850BF" w:rsidRPr="005724A9">
        <w:rPr>
          <w:i/>
        </w:rPr>
        <w:t>Elementi di matematica delle assicurazioni</w:t>
      </w:r>
      <w:r w:rsidR="000850BF" w:rsidRPr="005724A9">
        <w:t>, Lint, Trieste</w:t>
      </w:r>
      <w:r w:rsidR="005724A9" w:rsidRPr="005724A9">
        <w:t>, 2002</w:t>
      </w:r>
      <w:r w:rsidRPr="005724A9">
        <w:t>.</w:t>
      </w:r>
    </w:p>
    <w:p w14:paraId="2C8EA2AE" w14:textId="5A666CA3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G. </w:t>
      </w:r>
      <w:r w:rsidR="000850BF" w:rsidRPr="005724A9">
        <w:rPr>
          <w:smallCaps/>
          <w:sz w:val="16"/>
          <w:lang w:val="en-US"/>
        </w:rPr>
        <w:t>Werner</w:t>
      </w:r>
      <w:r w:rsidRPr="005724A9">
        <w:rPr>
          <w:smallCaps/>
          <w:sz w:val="16"/>
          <w:lang w:val="en-US"/>
        </w:rPr>
        <w:t xml:space="preserve">-C. </w:t>
      </w:r>
      <w:r w:rsidR="000850BF" w:rsidRPr="005724A9">
        <w:rPr>
          <w:smallCaps/>
          <w:sz w:val="16"/>
          <w:lang w:val="en-US"/>
        </w:rPr>
        <w:t>Modlin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Basic Ratemaking</w:t>
      </w:r>
      <w:r w:rsidR="000850BF" w:rsidRPr="00B7200C">
        <w:rPr>
          <w:lang w:val="en-US"/>
        </w:rPr>
        <w:t>, Casualty Actuarial Society</w:t>
      </w:r>
      <w:r w:rsidR="005724A9">
        <w:rPr>
          <w:lang w:val="en-US"/>
        </w:rPr>
        <w:t>, 2016</w:t>
      </w:r>
      <w:r w:rsidRPr="00B7200C">
        <w:rPr>
          <w:lang w:val="en-US"/>
        </w:rPr>
        <w:t>.</w:t>
      </w:r>
    </w:p>
    <w:p w14:paraId="7703BE0F" w14:textId="7D386DFB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M.V. </w:t>
      </w:r>
      <w:r w:rsidR="000850BF" w:rsidRPr="005724A9">
        <w:rPr>
          <w:smallCaps/>
          <w:sz w:val="16"/>
          <w:lang w:val="en-US"/>
        </w:rPr>
        <w:t>Wuthrich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Non-Life Insurance: Mathematics &amp; Statistics</w:t>
      </w:r>
      <w:r w:rsidR="000850BF" w:rsidRPr="00B7200C">
        <w:rPr>
          <w:lang w:val="en-US"/>
        </w:rPr>
        <w:t xml:space="preserve">, Available at SSRN: https://ssrn.com/abstract=2319328 or </w:t>
      </w:r>
      <w:r w:rsidR="005724A9" w:rsidRPr="005724A9">
        <w:rPr>
          <w:lang w:val="en-US"/>
        </w:rPr>
        <w:t>http://dx.doi.org/10.2139/ssrn.2319328</w:t>
      </w:r>
      <w:r w:rsidR="005724A9">
        <w:rPr>
          <w:lang w:val="en-US"/>
        </w:rPr>
        <w:t>, 2019</w:t>
      </w:r>
      <w:r>
        <w:rPr>
          <w:lang w:val="en-US"/>
        </w:rPr>
        <w:t>.</w:t>
      </w:r>
    </w:p>
    <w:p w14:paraId="659F35EA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E44493" w14:textId="77777777" w:rsidR="000850BF" w:rsidRPr="0078691F" w:rsidRDefault="000850BF" w:rsidP="000850BF">
      <w:pPr>
        <w:pStyle w:val="Testo2"/>
      </w:pPr>
      <w:r w:rsidRPr="0078691F">
        <w:t>Lezioni in aula in lingua italiana. Utilizzo di Files di esempio in Excel.</w:t>
      </w:r>
    </w:p>
    <w:p w14:paraId="7B278AD3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FEA589" w14:textId="3D060F61" w:rsidR="00905DBE" w:rsidRDefault="000850BF" w:rsidP="00905DBE">
      <w:pPr>
        <w:pStyle w:val="Testo2"/>
      </w:pPr>
      <w:r w:rsidRPr="0078691F">
        <w:t xml:space="preserve">La valutazione dello studente avviene </w:t>
      </w:r>
      <w:r w:rsidR="00905DBE">
        <w:t xml:space="preserve">tramite un test a risposta multipla e successivamente tramite esame orale. L’accesso all’orale è condizionato al superamento del test. </w:t>
      </w:r>
    </w:p>
    <w:p w14:paraId="3705AF2C" w14:textId="03BD51FA" w:rsidR="000850BF" w:rsidRPr="00E96C93" w:rsidRDefault="000850BF" w:rsidP="00905DBE">
      <w:pPr>
        <w:pStyle w:val="Testo2"/>
        <w:ind w:firstLine="0"/>
      </w:pPr>
      <w:r w:rsidRPr="0078691F">
        <w:t>L’esame è volto a valutare capacità di ragionamento e rigore analitico sui temi oggetto del corso, nonché proprietà di linguaggio e abilità comunicative.</w:t>
      </w:r>
      <w:r>
        <w:t xml:space="preserve"> </w:t>
      </w:r>
      <w:r w:rsidRPr="00E96C93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701E01D3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38E97F" w14:textId="77777777" w:rsidR="000850BF" w:rsidRPr="00B7200C" w:rsidRDefault="000850BF" w:rsidP="00B7200C">
      <w:pPr>
        <w:pStyle w:val="Testo2"/>
        <w:rPr>
          <w:rFonts w:eastAsia="MS Mincho"/>
          <w:i/>
        </w:rPr>
      </w:pPr>
      <w:r w:rsidRPr="00B7200C">
        <w:rPr>
          <w:rFonts w:eastAsia="MS Mincho"/>
          <w:i/>
        </w:rPr>
        <w:lastRenderedPageBreak/>
        <w:t>Prerequisiti</w:t>
      </w:r>
    </w:p>
    <w:p w14:paraId="04629212" w14:textId="77777777" w:rsidR="00B7200C" w:rsidRDefault="000850BF" w:rsidP="00B7200C">
      <w:pPr>
        <w:pStyle w:val="Testo2"/>
        <w:rPr>
          <w:rFonts w:eastAsia="MS Mincho"/>
          <w:i/>
        </w:rPr>
      </w:pPr>
      <w:r w:rsidRPr="00B7200C">
        <w:t>Prima di accedere al corso lo studente dovrà conoscere le nozioni di base della Matematica Generale e i concetti di variabile aleatoria discreta e continua, conoscere i concetti di funzione di probabilità, di densità e le funzioni di ripartizione, conoscere i concetti di media, varianza e asimmetria e le metodologie per la determinazione dei momenti, conoscere le principali distribuzioni di probabilità discrete e continue.</w:t>
      </w:r>
      <w:r w:rsidR="00B7200C" w:rsidRPr="00B7200C">
        <w:rPr>
          <w:rFonts w:eastAsia="MS Mincho"/>
          <w:i/>
        </w:rPr>
        <w:t xml:space="preserve"> </w:t>
      </w:r>
    </w:p>
    <w:p w14:paraId="548A635A" w14:textId="77777777" w:rsidR="009E306B" w:rsidRDefault="009E306B" w:rsidP="009E306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C1250FB" w14:textId="77777777" w:rsidR="00B7200C" w:rsidRPr="00B7200C" w:rsidRDefault="00B7200C" w:rsidP="00B7200C">
      <w:pPr>
        <w:pStyle w:val="Testo2"/>
        <w:spacing w:before="120"/>
        <w:rPr>
          <w:rFonts w:eastAsia="MS Mincho"/>
          <w:i/>
        </w:rPr>
      </w:pPr>
      <w:r w:rsidRPr="00B7200C">
        <w:rPr>
          <w:rFonts w:eastAsia="MS Mincho"/>
          <w:i/>
        </w:rPr>
        <w:t>Orario e luogo di ricevimento</w:t>
      </w:r>
    </w:p>
    <w:p w14:paraId="45B98C7E" w14:textId="77777777" w:rsidR="00B7200C" w:rsidRPr="00B7200C" w:rsidRDefault="00B7200C" w:rsidP="00B7200C">
      <w:pPr>
        <w:pStyle w:val="Testo2"/>
        <w:rPr>
          <w:rFonts w:eastAsia="MS Mincho"/>
        </w:rPr>
      </w:pPr>
      <w:r w:rsidRPr="00B7200C">
        <w:rPr>
          <w:rFonts w:eastAsia="MS Mincho"/>
        </w:rPr>
        <w:t>Il Prof. Gian Paolo Clemente riceve gli studenti presso il Dipartimento di Matematica per le Scienze Economiche Finanziarie ed Attuariali in via Necchi 9 (2 Piano) come da orario indicato sulla pagina web personale.</w:t>
      </w:r>
    </w:p>
    <w:sectPr w:rsidR="00B7200C" w:rsidRPr="00B7200C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D06A" w14:textId="77777777" w:rsidR="009B5E98" w:rsidRDefault="009B5E98" w:rsidP="000850BF">
      <w:pPr>
        <w:spacing w:line="240" w:lineRule="auto"/>
      </w:pPr>
      <w:r>
        <w:separator/>
      </w:r>
    </w:p>
  </w:endnote>
  <w:endnote w:type="continuationSeparator" w:id="0">
    <w:p w14:paraId="1278F2AD" w14:textId="77777777" w:rsidR="009B5E98" w:rsidRDefault="009B5E98" w:rsidP="0008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3130" w14:textId="77777777" w:rsidR="009B5E98" w:rsidRDefault="009B5E98" w:rsidP="000850BF">
      <w:pPr>
        <w:spacing w:line="240" w:lineRule="auto"/>
      </w:pPr>
      <w:r>
        <w:separator/>
      </w:r>
    </w:p>
  </w:footnote>
  <w:footnote w:type="continuationSeparator" w:id="0">
    <w:p w14:paraId="1747D6B5" w14:textId="77777777" w:rsidR="009B5E98" w:rsidRDefault="009B5E98" w:rsidP="000850BF">
      <w:pPr>
        <w:spacing w:line="240" w:lineRule="auto"/>
      </w:pPr>
      <w:r>
        <w:continuationSeparator/>
      </w:r>
    </w:p>
  </w:footnote>
  <w:footnote w:id="1">
    <w:p w14:paraId="6374BCC0" w14:textId="648656C2" w:rsidR="003D70E3" w:rsidRDefault="003D70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913A2EB" w14:textId="2BCE8F43" w:rsidR="003D70E3" w:rsidRDefault="003D70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A19E" w14:textId="77777777" w:rsidR="00BD6E93" w:rsidRDefault="000850BF">
    <w:pPr>
      <w:pStyle w:val="Intestazione"/>
    </w:pPr>
    <w:r>
      <w:fldChar w:fldCharType="begin"/>
    </w:r>
    <w:r>
      <w:instrText xml:space="preserve"> FILENAME  \p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1A"/>
    <w:multiLevelType w:val="hybridMultilevel"/>
    <w:tmpl w:val="FEB02EF0"/>
    <w:lvl w:ilvl="0" w:tplc="C77207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4286"/>
    <w:multiLevelType w:val="hybridMultilevel"/>
    <w:tmpl w:val="95F2FA8E"/>
    <w:lvl w:ilvl="0" w:tplc="A254DE5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850BF"/>
    <w:rsid w:val="000C0940"/>
    <w:rsid w:val="000C301B"/>
    <w:rsid w:val="000C6B8C"/>
    <w:rsid w:val="00187B99"/>
    <w:rsid w:val="001B061C"/>
    <w:rsid w:val="001D52EA"/>
    <w:rsid w:val="002014DD"/>
    <w:rsid w:val="00244B9F"/>
    <w:rsid w:val="002D5E17"/>
    <w:rsid w:val="00302FAD"/>
    <w:rsid w:val="003D70E3"/>
    <w:rsid w:val="0041790F"/>
    <w:rsid w:val="00420EBA"/>
    <w:rsid w:val="004D1217"/>
    <w:rsid w:val="004D6008"/>
    <w:rsid w:val="005724A9"/>
    <w:rsid w:val="005F3033"/>
    <w:rsid w:val="00612CC9"/>
    <w:rsid w:val="00640794"/>
    <w:rsid w:val="0068278F"/>
    <w:rsid w:val="006F1772"/>
    <w:rsid w:val="0071499C"/>
    <w:rsid w:val="00717E92"/>
    <w:rsid w:val="007A16A1"/>
    <w:rsid w:val="00892C06"/>
    <w:rsid w:val="008942E7"/>
    <w:rsid w:val="008A1204"/>
    <w:rsid w:val="00900CCA"/>
    <w:rsid w:val="00905DBE"/>
    <w:rsid w:val="00924B77"/>
    <w:rsid w:val="00940DA2"/>
    <w:rsid w:val="009B5E98"/>
    <w:rsid w:val="009D5A26"/>
    <w:rsid w:val="009E055C"/>
    <w:rsid w:val="009E306B"/>
    <w:rsid w:val="00A74F6F"/>
    <w:rsid w:val="00AD7557"/>
    <w:rsid w:val="00B12D2D"/>
    <w:rsid w:val="00B50C5D"/>
    <w:rsid w:val="00B51253"/>
    <w:rsid w:val="00B525CC"/>
    <w:rsid w:val="00B7200C"/>
    <w:rsid w:val="00B7469F"/>
    <w:rsid w:val="00BC779B"/>
    <w:rsid w:val="00BE35EF"/>
    <w:rsid w:val="00C423D1"/>
    <w:rsid w:val="00C80E00"/>
    <w:rsid w:val="00CA3442"/>
    <w:rsid w:val="00D404F2"/>
    <w:rsid w:val="00D61F90"/>
    <w:rsid w:val="00D62A45"/>
    <w:rsid w:val="00D86AFA"/>
    <w:rsid w:val="00E0667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character" w:styleId="Collegamentoipertestuale">
    <w:name w:val="Hyperlink"/>
    <w:basedOn w:val="Carpredefinitoparagrafo"/>
    <w:rsid w:val="005724A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C80E00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3D70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70E3"/>
    <w:rPr>
      <w:rFonts w:eastAsia="MS Mincho"/>
    </w:rPr>
  </w:style>
  <w:style w:type="character" w:styleId="Rimandonotaapidipagina">
    <w:name w:val="footnote reference"/>
    <w:basedOn w:val="Carpredefinitoparagrafo"/>
    <w:rsid w:val="003D7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character" w:styleId="Collegamentoipertestuale">
    <w:name w:val="Hyperlink"/>
    <w:basedOn w:val="Carpredefinitoparagrafo"/>
    <w:rsid w:val="005724A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C80E00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3D70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70E3"/>
    <w:rPr>
      <w:rFonts w:eastAsia="MS Mincho"/>
    </w:rPr>
  </w:style>
  <w:style w:type="character" w:styleId="Rimandonotaapidipagina">
    <w:name w:val="footnote reference"/>
    <w:basedOn w:val="Carpredefinitoparagrafo"/>
    <w:rsid w:val="003D7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B395-2FDE-4488-8548-ADCC3346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6</Pages>
  <Words>1629</Words>
  <Characters>10349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2022-05-19T12:04:00Z</dcterms:created>
  <dcterms:modified xsi:type="dcterms:W3CDTF">2022-07-13T08:47:00Z</dcterms:modified>
</cp:coreProperties>
</file>