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C9AF" w14:textId="77777777" w:rsidR="00113A15" w:rsidRPr="00312B33" w:rsidRDefault="00113A15" w:rsidP="00113A15">
      <w:pPr>
        <w:tabs>
          <w:tab w:val="clear" w:pos="284"/>
        </w:tabs>
        <w:spacing w:before="480"/>
        <w:jc w:val="left"/>
        <w:outlineLvl w:val="0"/>
        <w:rPr>
          <w:rFonts w:ascii="Times" w:hAnsi="Times" w:cs="Times"/>
          <w:b/>
          <w:noProof/>
          <w:color w:val="000000"/>
          <w:szCs w:val="20"/>
        </w:rPr>
      </w:pPr>
      <w:r w:rsidRPr="00312B33">
        <w:rPr>
          <w:rFonts w:ascii="Times" w:hAnsi="Times" w:cs="Times"/>
          <w:b/>
          <w:noProof/>
          <w:color w:val="000000"/>
          <w:szCs w:val="20"/>
        </w:rPr>
        <w:t>Metodi quantitativi per la finanza II (per i profili Gestione delle banche e delle assicurazioni, Finanza e Finanza – Corporate advisory)</w:t>
      </w:r>
    </w:p>
    <w:p w14:paraId="27431604" w14:textId="77777777" w:rsidR="00113A15" w:rsidRPr="00E615B2" w:rsidRDefault="00113A15" w:rsidP="00113A15">
      <w:pPr>
        <w:tabs>
          <w:tab w:val="clear" w:pos="284"/>
        </w:tabs>
        <w:jc w:val="left"/>
        <w:outlineLvl w:val="1"/>
        <w:rPr>
          <w:rFonts w:ascii="Times" w:hAnsi="Times" w:cs="Times"/>
          <w:smallCaps/>
          <w:noProof/>
          <w:color w:val="000000"/>
          <w:sz w:val="18"/>
          <w:szCs w:val="18"/>
        </w:rPr>
      </w:pPr>
      <w:r w:rsidRPr="00E615B2">
        <w:rPr>
          <w:rFonts w:ascii="Times" w:hAnsi="Times" w:cs="Times"/>
          <w:smallCaps/>
          <w:noProof/>
          <w:color w:val="000000"/>
          <w:sz w:val="18"/>
          <w:szCs w:val="18"/>
        </w:rPr>
        <w:t>Prof. Alessandro Sbuelz; Prof. Andrea Tarelli</w:t>
      </w:r>
    </w:p>
    <w:p w14:paraId="53B07051" w14:textId="77777777" w:rsidR="00113A15" w:rsidRPr="00312B33" w:rsidRDefault="00113A15" w:rsidP="00113A15">
      <w:pPr>
        <w:spacing w:before="240" w:after="120"/>
        <w:rPr>
          <w:rFonts w:ascii="Times" w:eastAsia="Calibri" w:hAnsi="Times" w:cs="Times"/>
          <w:b/>
          <w:szCs w:val="20"/>
          <w:lang w:eastAsia="en-US"/>
        </w:rPr>
      </w:pPr>
      <w:r w:rsidRPr="00312B33">
        <w:rPr>
          <w:rFonts w:ascii="Times" w:eastAsia="Calibri" w:hAnsi="Times" w:cs="Times"/>
          <w:b/>
          <w:i/>
          <w:szCs w:val="20"/>
          <w:lang w:eastAsia="en-US"/>
        </w:rPr>
        <w:t>OBIETTIVO DEL CORSO E RISULTATI DI APPRENDIMENTO ATTESI</w:t>
      </w:r>
    </w:p>
    <w:p w14:paraId="32D1BD9A"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Il corso fornisce importanti strumenti quantitativi per l'analisi dei mercati finanziari e per lo studio delle decisioni ottimali operate da agenti razionali. Saranno esaminati modelli che descrivono le dinamiche dei prezzi di attività finanziarie in presenza di rischio. Il filo conduttore del corso sarà dato dai principi di assenza di arbitraggio e di completezza del mercato. Saranno quindi studiate la natura tecnica e le sfumature economiche / finanziarie delle soluzioni ai problemi di ottimizzazione associati a una decisione razionale. Saranno infine studiate attentamente le dinamiche dei valori delle attività finanziarie esposte al rischio di mercato e al rischio di tasso di interesse con particolare attenzione ai premi per il rischio. La teoria sarà costantemente esemplificata con le applicazioni in classe.</w:t>
      </w:r>
    </w:p>
    <w:p w14:paraId="33637F2F"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dell’insegnamento, lo studente conoscerà una serie di modelli che descrivono le dinamiche dei valori di diverse attività finanziarie in presenza di rischio e saprà utilizzarli per finalità di pricing e di scelta di portafoglio.</w:t>
      </w:r>
    </w:p>
    <w:p w14:paraId="0B12F76F" w14:textId="77777777" w:rsidR="00113A15" w:rsidRPr="00312B33" w:rsidRDefault="00113A15" w:rsidP="00113A15">
      <w:pPr>
        <w:spacing w:before="240" w:after="120"/>
        <w:rPr>
          <w:rFonts w:ascii="Times" w:eastAsia="Calibri" w:hAnsi="Times" w:cs="Times"/>
          <w:b/>
          <w:szCs w:val="20"/>
          <w:lang w:eastAsia="en-US"/>
        </w:rPr>
      </w:pPr>
      <w:r w:rsidRPr="00312B33">
        <w:rPr>
          <w:rFonts w:ascii="Times" w:eastAsia="Calibri" w:hAnsi="Times" w:cs="Times"/>
          <w:b/>
          <w:i/>
          <w:szCs w:val="20"/>
          <w:lang w:eastAsia="en-US"/>
        </w:rPr>
        <w:t>PROGRAMMA DEL CORSO</w:t>
      </w:r>
    </w:p>
    <w:p w14:paraId="71AB0A21" w14:textId="77777777" w:rsidR="00113A15" w:rsidRPr="00312B33" w:rsidRDefault="00113A15" w:rsidP="00113A15">
      <w:pPr>
        <w:rPr>
          <w:rFonts w:ascii="Times" w:eastAsia="Calibri" w:hAnsi="Times" w:cs="Times"/>
          <w:i/>
          <w:szCs w:val="20"/>
          <w:lang w:eastAsia="en-US"/>
        </w:rPr>
      </w:pPr>
      <w:r w:rsidRPr="00312B33">
        <w:rPr>
          <w:rFonts w:ascii="Times" w:eastAsia="Calibri" w:hAnsi="Times" w:cs="Times"/>
          <w:i/>
          <w:szCs w:val="20"/>
          <w:lang w:eastAsia="en-US"/>
        </w:rPr>
        <w:t>Mercati finanziari uniperiodali</w:t>
      </w:r>
    </w:p>
    <w:p w14:paraId="49B085A7"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140446A4"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costruire strategie di investimento e individuare opportunità di arbitraggio di primo e secondo tipo;</w:t>
      </w:r>
    </w:p>
    <w:p w14:paraId="0316B56F"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associare l'ipotesi di non arbitraggio con l'esistenza di una misura di probabilità neutrale al rischio;</w:t>
      </w:r>
    </w:p>
    <w:p w14:paraId="193B0B1D"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relazionare il concetto di completezza del mercato con quello della replica di flussi di cassa dati mediante strategie di investimento;</w:t>
      </w:r>
    </w:p>
    <w:p w14:paraId="09261C53"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trovare il valore di non arbitraggio dei contratti che promettono determinati flussi di cassa.</w:t>
      </w:r>
    </w:p>
    <w:p w14:paraId="16195CE5" w14:textId="77777777" w:rsidR="00113A15" w:rsidRPr="00312B33" w:rsidRDefault="00113A15" w:rsidP="00113A15">
      <w:pPr>
        <w:spacing w:before="120"/>
        <w:rPr>
          <w:rFonts w:ascii="Times" w:eastAsia="Calibri" w:hAnsi="Times" w:cs="Times"/>
          <w:i/>
          <w:szCs w:val="20"/>
          <w:lang w:eastAsia="en-US"/>
        </w:rPr>
      </w:pPr>
      <w:r w:rsidRPr="00312B33">
        <w:rPr>
          <w:rFonts w:ascii="Times" w:eastAsia="Calibri" w:hAnsi="Times" w:cs="Times"/>
          <w:i/>
          <w:szCs w:val="20"/>
          <w:lang w:eastAsia="en-US"/>
        </w:rPr>
        <w:t>Tecniche di ottimizzazione per economia e finanza</w:t>
      </w:r>
    </w:p>
    <w:p w14:paraId="660D6E44"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2C4C25EF"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impostare correttamente i problemi di ottimizzazione legati agli obiettivi di specifici agenti razionali in assenza/presenza di vincoli;</w:t>
      </w:r>
    </w:p>
    <w:p w14:paraId="005805A3"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elaborare soluzioni analitiche o numeriche di tali problemi;</w:t>
      </w:r>
    </w:p>
    <w:p w14:paraId="4BDD0073"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interpretare in chiave economica / finanziaria le soluzioni ottenute;</w:t>
      </w:r>
    </w:p>
    <w:p w14:paraId="78672B7E"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quantificare l’impatto economico / finanziario dei vincoli presenti.</w:t>
      </w:r>
    </w:p>
    <w:p w14:paraId="28FC88B2" w14:textId="77777777" w:rsidR="00113A15" w:rsidRPr="00312B33" w:rsidRDefault="00113A15" w:rsidP="00113A15">
      <w:pPr>
        <w:spacing w:before="120"/>
        <w:rPr>
          <w:rFonts w:ascii="Times" w:eastAsia="Calibri" w:hAnsi="Times" w:cs="Times"/>
          <w:i/>
          <w:szCs w:val="20"/>
          <w:lang w:eastAsia="en-US"/>
        </w:rPr>
      </w:pPr>
      <w:r w:rsidRPr="00312B33">
        <w:rPr>
          <w:rFonts w:ascii="Times" w:eastAsia="Calibri" w:hAnsi="Times" w:cs="Times"/>
          <w:i/>
          <w:szCs w:val="20"/>
          <w:lang w:eastAsia="en-US"/>
        </w:rPr>
        <w:lastRenderedPageBreak/>
        <w:t>Rischio di mercato e rischio di tasso di interesse</w:t>
      </w:r>
    </w:p>
    <w:p w14:paraId="7B14DB51"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6A2EBDA4"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la natura quantitativa del rischio di mercato e del rischio di tasso di interesse;</w:t>
      </w:r>
    </w:p>
    <w:p w14:paraId="1E2E294D"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rendimento di equilibrio su un titolo finanziario esposto a uno di tali rischi;</w:t>
      </w:r>
    </w:p>
    <w:p w14:paraId="6BF337F3"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prezzo di equilibrio di un titolo che prometta flussi di cassa esposti al rischio di mercato;</w:t>
      </w:r>
    </w:p>
    <w:p w14:paraId="6CB66255"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prezzo di equilibrio di un'attività finanziaria a reddito fisso ed esposta al rischio di tasso di interesse.</w:t>
      </w:r>
    </w:p>
    <w:p w14:paraId="2BE736DD" w14:textId="5D6E78B3" w:rsidR="00113A15" w:rsidRPr="00312B33" w:rsidRDefault="00113A15" w:rsidP="00113A15">
      <w:pPr>
        <w:spacing w:before="240" w:after="120" w:line="220" w:lineRule="exact"/>
        <w:rPr>
          <w:rFonts w:ascii="Times" w:hAnsi="Times" w:cs="Times"/>
          <w:b/>
          <w:i/>
          <w:noProof/>
          <w:szCs w:val="20"/>
        </w:rPr>
      </w:pPr>
      <w:r w:rsidRPr="00312B33">
        <w:rPr>
          <w:rFonts w:ascii="Times" w:hAnsi="Times" w:cs="Times"/>
          <w:b/>
          <w:i/>
          <w:noProof/>
          <w:szCs w:val="20"/>
        </w:rPr>
        <w:t>BIBLIOGRAFIA</w:t>
      </w:r>
      <w:r w:rsidR="0052064C">
        <w:rPr>
          <w:rStyle w:val="Rimandonotaapidipagina"/>
          <w:rFonts w:ascii="Times" w:hAnsi="Times" w:cs="Times"/>
          <w:b/>
          <w:i/>
          <w:noProof/>
          <w:szCs w:val="20"/>
        </w:rPr>
        <w:footnoteReference w:id="1"/>
      </w:r>
    </w:p>
    <w:p w14:paraId="603089FC" w14:textId="77777777" w:rsidR="00113A15" w:rsidRPr="00E615B2" w:rsidRDefault="00113A15" w:rsidP="00113A15">
      <w:pPr>
        <w:pStyle w:val="Testo1"/>
        <w:rPr>
          <w:rFonts w:cs="Times"/>
          <w:szCs w:val="18"/>
        </w:rPr>
      </w:pPr>
      <w:r w:rsidRPr="00E615B2">
        <w:rPr>
          <w:rFonts w:cs="Times"/>
          <w:szCs w:val="18"/>
        </w:rPr>
        <w:t>Materiale scelto (lucidi, esercizi, etc.) sarà messo a disposizione nel sito Blackboard del corso.</w:t>
      </w:r>
    </w:p>
    <w:p w14:paraId="412A703F" w14:textId="3BBD84CE" w:rsidR="00113A15" w:rsidRPr="00E615B2" w:rsidRDefault="00113A15" w:rsidP="00113A15">
      <w:pPr>
        <w:pStyle w:val="Testo1"/>
        <w:spacing w:before="0" w:line="240" w:lineRule="atLeast"/>
        <w:rPr>
          <w:rFonts w:cs="Times"/>
          <w:spacing w:val="-5"/>
          <w:szCs w:val="18"/>
          <w:lang w:val="en-US"/>
        </w:rPr>
      </w:pPr>
      <w:r w:rsidRPr="00E615B2">
        <w:rPr>
          <w:rFonts w:cs="Times"/>
          <w:smallCaps/>
          <w:spacing w:val="-5"/>
          <w:szCs w:val="18"/>
          <w:lang w:val="en-US"/>
        </w:rPr>
        <w:t>A. Battauz-F. Ortu,</w:t>
      </w:r>
      <w:r w:rsidRPr="00E615B2">
        <w:rPr>
          <w:rFonts w:cs="Times"/>
          <w:i/>
          <w:spacing w:val="-5"/>
          <w:szCs w:val="18"/>
          <w:lang w:val="en-US"/>
        </w:rPr>
        <w:t xml:space="preserve"> Arbitrage </w:t>
      </w:r>
      <w:r w:rsidR="00D73F80" w:rsidRPr="00E615B2">
        <w:rPr>
          <w:rFonts w:cs="Times"/>
          <w:i/>
          <w:spacing w:val="-5"/>
          <w:szCs w:val="18"/>
          <w:lang w:val="en-US"/>
        </w:rPr>
        <w:t>t</w:t>
      </w:r>
      <w:r w:rsidRPr="00E615B2">
        <w:rPr>
          <w:rFonts w:cs="Times"/>
          <w:i/>
          <w:spacing w:val="-5"/>
          <w:szCs w:val="18"/>
          <w:lang w:val="en-US"/>
        </w:rPr>
        <w:t xml:space="preserve">heory in </w:t>
      </w:r>
      <w:r w:rsidR="00D73F80" w:rsidRPr="00E615B2">
        <w:rPr>
          <w:rFonts w:cs="Times"/>
          <w:i/>
          <w:spacing w:val="-5"/>
          <w:szCs w:val="18"/>
          <w:lang w:val="en-US"/>
        </w:rPr>
        <w:t>d</w:t>
      </w:r>
      <w:r w:rsidRPr="00E615B2">
        <w:rPr>
          <w:rFonts w:cs="Times"/>
          <w:i/>
          <w:spacing w:val="-5"/>
          <w:szCs w:val="18"/>
          <w:lang w:val="en-US"/>
        </w:rPr>
        <w:t xml:space="preserve">iscrete and </w:t>
      </w:r>
      <w:r w:rsidR="00D73F80" w:rsidRPr="00E615B2">
        <w:rPr>
          <w:rFonts w:cs="Times"/>
          <w:i/>
          <w:spacing w:val="-5"/>
          <w:szCs w:val="18"/>
          <w:lang w:val="en-US"/>
        </w:rPr>
        <w:t>c</w:t>
      </w:r>
      <w:r w:rsidRPr="00E615B2">
        <w:rPr>
          <w:rFonts w:cs="Times"/>
          <w:i/>
          <w:spacing w:val="-5"/>
          <w:szCs w:val="18"/>
          <w:lang w:val="en-US"/>
        </w:rPr>
        <w:t xml:space="preserve">ontinuous </w:t>
      </w:r>
      <w:r w:rsidR="00D73F80" w:rsidRPr="00E615B2">
        <w:rPr>
          <w:rFonts w:cs="Times"/>
          <w:i/>
          <w:spacing w:val="-5"/>
          <w:szCs w:val="18"/>
          <w:lang w:val="en-US"/>
        </w:rPr>
        <w:t>t</w:t>
      </w:r>
      <w:r w:rsidRPr="00E615B2">
        <w:rPr>
          <w:rFonts w:cs="Times"/>
          <w:i/>
          <w:spacing w:val="-5"/>
          <w:szCs w:val="18"/>
          <w:lang w:val="en-US"/>
        </w:rPr>
        <w:t>ime,</w:t>
      </w:r>
      <w:r w:rsidRPr="00E615B2">
        <w:rPr>
          <w:rFonts w:cs="Times"/>
          <w:spacing w:val="-5"/>
          <w:szCs w:val="18"/>
          <w:lang w:val="en-US"/>
        </w:rPr>
        <w:t xml:space="preserve"> EGEA, last edition.</w:t>
      </w:r>
    </w:p>
    <w:p w14:paraId="142109B7" w14:textId="73B0E685" w:rsidR="00113A15" w:rsidRPr="0052064C" w:rsidRDefault="00D73F80" w:rsidP="00113A15">
      <w:pPr>
        <w:pStyle w:val="Testo1"/>
        <w:spacing w:before="0" w:line="240" w:lineRule="atLeast"/>
        <w:rPr>
          <w:rFonts w:cs="Times"/>
          <w:spacing w:val="-5"/>
          <w:szCs w:val="18"/>
        </w:rPr>
      </w:pPr>
      <w:r w:rsidRPr="00E615B2">
        <w:rPr>
          <w:rFonts w:cs="Times"/>
          <w:smallCaps/>
          <w:spacing w:val="-5"/>
          <w:szCs w:val="18"/>
          <w:lang w:val="en-US"/>
        </w:rPr>
        <w:t>A</w:t>
      </w:r>
      <w:r w:rsidR="00113A15" w:rsidRPr="00E615B2">
        <w:rPr>
          <w:rFonts w:cs="Times"/>
          <w:smallCaps/>
          <w:spacing w:val="-5"/>
          <w:szCs w:val="18"/>
          <w:lang w:val="en-US"/>
        </w:rPr>
        <w:t xml:space="preserve">. </w:t>
      </w:r>
      <w:r w:rsidRPr="00E615B2">
        <w:rPr>
          <w:rFonts w:cs="Times"/>
          <w:smallCaps/>
          <w:spacing w:val="-5"/>
          <w:szCs w:val="18"/>
          <w:lang w:val="en-US"/>
        </w:rPr>
        <w:t xml:space="preserve">Sbuelz-A. </w:t>
      </w:r>
      <w:r w:rsidRPr="0052064C">
        <w:rPr>
          <w:rFonts w:cs="Times"/>
          <w:smallCaps/>
          <w:spacing w:val="-5"/>
          <w:szCs w:val="18"/>
        </w:rPr>
        <w:t>Tarelli</w:t>
      </w:r>
      <w:r w:rsidR="00113A15" w:rsidRPr="0052064C">
        <w:rPr>
          <w:rFonts w:cs="Times"/>
          <w:smallCaps/>
          <w:spacing w:val="-5"/>
          <w:szCs w:val="18"/>
        </w:rPr>
        <w:t>,</w:t>
      </w:r>
      <w:r w:rsidR="00113A15" w:rsidRPr="0052064C">
        <w:rPr>
          <w:rFonts w:cs="Times"/>
          <w:i/>
          <w:spacing w:val="-5"/>
          <w:szCs w:val="18"/>
        </w:rPr>
        <w:t xml:space="preserve"> </w:t>
      </w:r>
      <w:r w:rsidRPr="0052064C">
        <w:rPr>
          <w:rFonts w:cs="Times"/>
          <w:i/>
          <w:spacing w:val="-5"/>
          <w:szCs w:val="18"/>
        </w:rPr>
        <w:t>Quantitative finance: Problems and solutions</w:t>
      </w:r>
      <w:r w:rsidR="00113A15" w:rsidRPr="0052064C">
        <w:rPr>
          <w:rFonts w:cs="Times"/>
          <w:i/>
          <w:spacing w:val="-5"/>
          <w:szCs w:val="18"/>
        </w:rPr>
        <w:t>,</w:t>
      </w:r>
      <w:r w:rsidR="00113A15" w:rsidRPr="0052064C">
        <w:rPr>
          <w:rFonts w:cs="Times"/>
          <w:spacing w:val="-5"/>
          <w:szCs w:val="18"/>
        </w:rPr>
        <w:t xml:space="preserve"> </w:t>
      </w:r>
      <w:r w:rsidRPr="0052064C">
        <w:rPr>
          <w:rFonts w:cs="Times"/>
          <w:spacing w:val="-5"/>
          <w:szCs w:val="18"/>
        </w:rPr>
        <w:t>Giappichelli</w:t>
      </w:r>
      <w:r w:rsidR="00113A15" w:rsidRPr="0052064C">
        <w:rPr>
          <w:rFonts w:cs="Times"/>
          <w:spacing w:val="-5"/>
          <w:szCs w:val="18"/>
        </w:rPr>
        <w:t>, 20</w:t>
      </w:r>
      <w:r w:rsidRPr="0052064C">
        <w:rPr>
          <w:rFonts w:cs="Times"/>
          <w:spacing w:val="-5"/>
          <w:szCs w:val="18"/>
        </w:rPr>
        <w:t>2</w:t>
      </w:r>
      <w:r w:rsidR="00113A15" w:rsidRPr="0052064C">
        <w:rPr>
          <w:rFonts w:cs="Times"/>
          <w:spacing w:val="-5"/>
          <w:szCs w:val="18"/>
        </w:rPr>
        <w:t>1.</w:t>
      </w:r>
      <w:r w:rsidR="0052064C" w:rsidRPr="0052064C">
        <w:rPr>
          <w:rFonts w:cs="Times"/>
          <w:spacing w:val="-5"/>
          <w:szCs w:val="18"/>
        </w:rPr>
        <w:t xml:space="preserve"> </w:t>
      </w:r>
      <w:hyperlink r:id="rId9" w:history="1">
        <w:r w:rsidR="0052064C" w:rsidRPr="0052064C">
          <w:rPr>
            <w:rStyle w:val="Collegamentoipertestuale"/>
            <w:rFonts w:ascii="Times New Roman" w:hAnsi="Times New Roman"/>
            <w:i/>
            <w:sz w:val="16"/>
            <w:szCs w:val="16"/>
          </w:rPr>
          <w:t>Acquista da VP</w:t>
        </w:r>
      </w:hyperlink>
      <w:bookmarkStart w:id="0" w:name="_GoBack"/>
      <w:bookmarkEnd w:id="0"/>
    </w:p>
    <w:p w14:paraId="527E6960" w14:textId="2AFA6D11" w:rsidR="00113A15" w:rsidRPr="00E615B2" w:rsidRDefault="00113A15" w:rsidP="00113A15">
      <w:pPr>
        <w:pStyle w:val="Testo1"/>
        <w:spacing w:before="0" w:line="240" w:lineRule="atLeast"/>
        <w:rPr>
          <w:rFonts w:cs="Times"/>
          <w:spacing w:val="-5"/>
          <w:szCs w:val="18"/>
          <w:lang w:val="en-US"/>
        </w:rPr>
      </w:pPr>
      <w:r w:rsidRPr="00E615B2">
        <w:rPr>
          <w:rFonts w:cs="Times"/>
          <w:smallCaps/>
          <w:spacing w:val="-5"/>
          <w:szCs w:val="18"/>
          <w:lang w:val="en-US"/>
        </w:rPr>
        <w:t>K. Sydsaeter-P.J. Hammond,</w:t>
      </w:r>
      <w:r w:rsidRPr="00E615B2">
        <w:rPr>
          <w:rFonts w:cs="Times"/>
          <w:i/>
          <w:spacing w:val="-5"/>
          <w:szCs w:val="18"/>
          <w:lang w:val="en-US"/>
        </w:rPr>
        <w:t xml:space="preserve"> Mathematics for economic analysis,</w:t>
      </w:r>
      <w:r w:rsidRPr="00E615B2">
        <w:rPr>
          <w:rFonts w:cs="Times"/>
          <w:spacing w:val="-5"/>
          <w:szCs w:val="18"/>
          <w:lang w:val="en-US"/>
        </w:rPr>
        <w:t xml:space="preserve"> Prentice-Hall, 1995.</w:t>
      </w:r>
      <w:r w:rsidR="0052064C">
        <w:rPr>
          <w:rFonts w:cs="Times"/>
          <w:spacing w:val="-5"/>
          <w:szCs w:val="18"/>
          <w:lang w:val="en-US"/>
        </w:rPr>
        <w:t xml:space="preserve"> </w:t>
      </w:r>
      <w:hyperlink r:id="rId10" w:history="1">
        <w:r w:rsidR="0052064C" w:rsidRPr="0052064C">
          <w:rPr>
            <w:rStyle w:val="Collegamentoipertestuale"/>
            <w:rFonts w:ascii="Times New Roman" w:hAnsi="Times New Roman"/>
            <w:i/>
            <w:sz w:val="16"/>
            <w:szCs w:val="16"/>
          </w:rPr>
          <w:t>Acquista da VP</w:t>
        </w:r>
      </w:hyperlink>
    </w:p>
    <w:p w14:paraId="569D750B" w14:textId="77777777" w:rsidR="00113A15" w:rsidRPr="00312B33" w:rsidRDefault="00113A15" w:rsidP="00113A15">
      <w:pPr>
        <w:spacing w:before="240" w:after="120" w:line="220" w:lineRule="exact"/>
        <w:rPr>
          <w:rFonts w:ascii="Times" w:hAnsi="Times" w:cs="Times"/>
          <w:b/>
          <w:i/>
          <w:noProof/>
          <w:szCs w:val="20"/>
        </w:rPr>
      </w:pPr>
      <w:r w:rsidRPr="00312B33">
        <w:rPr>
          <w:rFonts w:ascii="Times" w:hAnsi="Times" w:cs="Times"/>
          <w:b/>
          <w:i/>
          <w:noProof/>
          <w:szCs w:val="20"/>
        </w:rPr>
        <w:t>DIDATTICA DEL CORSO</w:t>
      </w:r>
    </w:p>
    <w:p w14:paraId="71A019C9" w14:textId="1354F749" w:rsidR="00113A15" w:rsidRPr="00E615B2" w:rsidRDefault="00113A15" w:rsidP="00E615B2">
      <w:pPr>
        <w:ind w:left="284" w:hanging="284"/>
        <w:rPr>
          <w:sz w:val="18"/>
          <w:szCs w:val="22"/>
        </w:rPr>
      </w:pPr>
      <w:r w:rsidRPr="00E615B2">
        <w:rPr>
          <w:sz w:val="18"/>
          <w:szCs w:val="22"/>
        </w:rPr>
        <w:t>Lezioni ed esercitazioni in aula.</w:t>
      </w:r>
    </w:p>
    <w:p w14:paraId="260A185A" w14:textId="77777777" w:rsidR="00113A15" w:rsidRPr="00312B33" w:rsidRDefault="00113A15" w:rsidP="00113A15">
      <w:pPr>
        <w:spacing w:before="240" w:after="120" w:line="220" w:lineRule="exact"/>
        <w:rPr>
          <w:rFonts w:ascii="Times" w:hAnsi="Times" w:cs="Times"/>
          <w:b/>
          <w:i/>
          <w:noProof/>
          <w:szCs w:val="20"/>
        </w:rPr>
      </w:pPr>
      <w:r w:rsidRPr="00312B33">
        <w:rPr>
          <w:rFonts w:ascii="Times" w:hAnsi="Times" w:cs="Times"/>
          <w:b/>
          <w:i/>
          <w:noProof/>
          <w:szCs w:val="20"/>
        </w:rPr>
        <w:t>METODO E CRITERI DI VALUTAZIONE</w:t>
      </w:r>
    </w:p>
    <w:p w14:paraId="6C54F090" w14:textId="4D086FC8" w:rsidR="00113A15" w:rsidRPr="00E615B2" w:rsidRDefault="00113A15" w:rsidP="00E615B2">
      <w:pPr>
        <w:pStyle w:val="Testo2"/>
      </w:pPr>
      <w:r w:rsidRPr="00E615B2">
        <w:t>Il voto finale è basato su una prova scritta al termine del corso, articolata in domande aperte e/o a scelta multipla di carattere sia teorico che applicativo.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14:paraId="119DA32D" w14:textId="77777777" w:rsidR="00113A15" w:rsidRPr="00312B33" w:rsidRDefault="00113A15" w:rsidP="00113A15">
      <w:pPr>
        <w:spacing w:before="240" w:after="120"/>
        <w:rPr>
          <w:rFonts w:ascii="Times" w:hAnsi="Times" w:cs="Times"/>
          <w:b/>
          <w:i/>
          <w:szCs w:val="20"/>
        </w:rPr>
      </w:pPr>
      <w:r w:rsidRPr="00312B33">
        <w:rPr>
          <w:rFonts w:ascii="Times" w:hAnsi="Times" w:cs="Times"/>
          <w:b/>
          <w:i/>
          <w:szCs w:val="20"/>
        </w:rPr>
        <w:t>AVVERTENZE E PREREQUISITI</w:t>
      </w:r>
    </w:p>
    <w:p w14:paraId="6789A753" w14:textId="77777777" w:rsidR="00113A15" w:rsidRPr="00312B33" w:rsidRDefault="00113A15" w:rsidP="00E615B2">
      <w:pPr>
        <w:pStyle w:val="Testo2"/>
        <w:rPr>
          <w:rFonts w:eastAsia="Calibri"/>
          <w:lang w:eastAsia="en-US"/>
        </w:rPr>
      </w:pPr>
      <w:r w:rsidRPr="00312B33">
        <w:rPr>
          <w:rFonts w:eastAsia="Calibri"/>
          <w:lang w:eastAsia="en-US"/>
        </w:rPr>
        <w:t>Gli studenti che si accingono a frequentare il corso devono conoscere:</w:t>
      </w:r>
    </w:p>
    <w:p w14:paraId="26E4FAEA" w14:textId="77777777" w:rsidR="00113A15" w:rsidRPr="00312B33" w:rsidRDefault="00113A15" w:rsidP="00E615B2">
      <w:pPr>
        <w:pStyle w:val="Testo2"/>
        <w:rPr>
          <w:rFonts w:eastAsia="Calibri"/>
          <w:lang w:eastAsia="en-US"/>
        </w:rPr>
      </w:pPr>
      <w:r w:rsidRPr="00312B33">
        <w:rPr>
          <w:rFonts w:eastAsia="Calibri"/>
          <w:lang w:eastAsia="en-US"/>
        </w:rPr>
        <w:t>–</w:t>
      </w:r>
      <w:r w:rsidRPr="00312B33">
        <w:rPr>
          <w:rFonts w:eastAsia="Calibri"/>
          <w:lang w:eastAsia="en-US"/>
        </w:rPr>
        <w:tab/>
        <w:t>fondamenti di algebra lineare;</w:t>
      </w:r>
    </w:p>
    <w:p w14:paraId="397A9BBB" w14:textId="77777777" w:rsidR="00113A15" w:rsidRPr="00312B33" w:rsidRDefault="00113A15" w:rsidP="00E615B2">
      <w:pPr>
        <w:pStyle w:val="Testo2"/>
        <w:ind w:left="567" w:hanging="283"/>
        <w:rPr>
          <w:rFonts w:eastAsia="Calibri"/>
          <w:lang w:eastAsia="en-US"/>
        </w:rPr>
      </w:pPr>
      <w:r w:rsidRPr="00312B33">
        <w:rPr>
          <w:rFonts w:eastAsia="Calibri"/>
          <w:lang w:eastAsia="en-US"/>
        </w:rPr>
        <w:lastRenderedPageBreak/>
        <w:t>–</w:t>
      </w:r>
      <w:r w:rsidRPr="00312B33">
        <w:rPr>
          <w:rFonts w:eastAsia="Calibri"/>
          <w:lang w:eastAsia="en-US"/>
        </w:rPr>
        <w:tab/>
        <w:t>elementi di matematica finanziaria in assenza di rischio (ad esempio interesse composto e rendite);</w:t>
      </w:r>
    </w:p>
    <w:p w14:paraId="2FB51BAB" w14:textId="77777777" w:rsidR="00113A15" w:rsidRPr="00312B33" w:rsidRDefault="00113A15" w:rsidP="00E615B2">
      <w:pPr>
        <w:pStyle w:val="Testo2"/>
        <w:ind w:left="567" w:hanging="283"/>
        <w:rPr>
          <w:rFonts w:eastAsia="Calibri"/>
          <w:lang w:eastAsia="en-US"/>
        </w:rPr>
      </w:pPr>
      <w:r w:rsidRPr="00312B33">
        <w:rPr>
          <w:rFonts w:eastAsia="Calibri"/>
          <w:lang w:eastAsia="en-US"/>
        </w:rPr>
        <w:t>–</w:t>
      </w:r>
      <w:r w:rsidRPr="00312B33">
        <w:rPr>
          <w:rFonts w:eastAsia="Calibri"/>
          <w:lang w:eastAsia="en-US"/>
        </w:rPr>
        <w:tab/>
        <w:t>le caratteristiche delle distribuzioni di probabilità di variabili casuali (media, varianza e percentili), nonché le caratteristiche delle distribuzioni congiunta e condizionale (covarianza e correlazione, aspettativa e varianza condizionali); distribuzione Gaussiana;</w:t>
      </w:r>
    </w:p>
    <w:p w14:paraId="51F33494" w14:textId="77777777" w:rsidR="00113A15" w:rsidRPr="00312B33" w:rsidRDefault="00113A15" w:rsidP="00E615B2">
      <w:pPr>
        <w:pStyle w:val="Testo2"/>
        <w:ind w:left="567" w:hanging="283"/>
        <w:rPr>
          <w:rFonts w:eastAsia="Calibri"/>
          <w:lang w:eastAsia="en-US"/>
        </w:rPr>
      </w:pPr>
      <w:r w:rsidRPr="00312B33">
        <w:rPr>
          <w:rFonts w:eastAsia="Calibri"/>
          <w:lang w:eastAsia="en-US"/>
        </w:rPr>
        <w:t>–</w:t>
      </w:r>
      <w:r w:rsidRPr="00312B33">
        <w:rPr>
          <w:rFonts w:eastAsia="Calibri"/>
          <w:lang w:eastAsia="en-US"/>
        </w:rPr>
        <w:tab/>
        <w:t>elementi di valutazione dei titoli derivati (ad esempio, come vengono presentati nei capitoli 1-11 del libro di testo “</w:t>
      </w:r>
      <w:r w:rsidRPr="00312B33">
        <w:rPr>
          <w:rFonts w:eastAsia="Calibri"/>
          <w:i/>
          <w:lang w:eastAsia="en-US"/>
        </w:rPr>
        <w:t>Options, Futures, and Other Derivatives</w:t>
      </w:r>
      <w:r w:rsidRPr="00312B33">
        <w:rPr>
          <w:rFonts w:eastAsia="Calibri"/>
          <w:lang w:eastAsia="en-US"/>
        </w:rPr>
        <w:t>", settima edizione, Prentice-Hall, di John Hull).</w:t>
      </w:r>
    </w:p>
    <w:p w14:paraId="7A34FA36" w14:textId="6775153F" w:rsidR="00113A15" w:rsidRPr="00E615B2" w:rsidRDefault="00113A15" w:rsidP="00E615B2">
      <w:pPr>
        <w:pStyle w:val="Testo2"/>
        <w:rPr>
          <w:szCs w:val="18"/>
        </w:rPr>
      </w:pPr>
      <w:r w:rsidRPr="00E615B2">
        <w:rPr>
          <w:rFonts w:eastAsia="Calibri"/>
          <w:szCs w:val="18"/>
          <w:lang w:eastAsia="en-US"/>
        </w:rPr>
        <w:t xml:space="preserve">Nel caso in cui </w:t>
      </w:r>
      <w:r w:rsidR="00044156" w:rsidRPr="00E615B2">
        <w:rPr>
          <w:rFonts w:eastAsia="Calibri"/>
          <w:szCs w:val="18"/>
          <w:lang w:eastAsia="en-US"/>
        </w:rPr>
        <w:t>dovessero esservi</w:t>
      </w:r>
      <w:r w:rsidRPr="00E615B2">
        <w:rPr>
          <w:rFonts w:eastAsia="Calibri"/>
          <w:szCs w:val="18"/>
          <w:lang w:eastAsia="en-US"/>
        </w:rPr>
        <w:t xml:space="preserve"> restrizioni dovute alla pandemia d</w:t>
      </w:r>
      <w:r w:rsidR="00044156" w:rsidRPr="00E615B2">
        <w:rPr>
          <w:rFonts w:eastAsia="Calibri"/>
          <w:szCs w:val="18"/>
          <w:lang w:eastAsia="en-US"/>
        </w:rPr>
        <w:t>a</w:t>
      </w:r>
      <w:r w:rsidRPr="00E615B2">
        <w:rPr>
          <w:rFonts w:eastAsia="Calibri"/>
          <w:szCs w:val="18"/>
          <w:lang w:eastAsia="en-US"/>
        </w:rPr>
        <w:t xml:space="preserve"> </w:t>
      </w:r>
      <w:r w:rsidR="00DF6942" w:rsidRPr="00E615B2">
        <w:rPr>
          <w:rFonts w:eastAsia="Calibri"/>
          <w:szCs w:val="18"/>
          <w:lang w:eastAsia="en-US"/>
        </w:rPr>
        <w:t>COVID</w:t>
      </w:r>
      <w:r w:rsidRPr="00E615B2">
        <w:rPr>
          <w:rFonts w:eastAsia="Calibri"/>
          <w:szCs w:val="18"/>
          <w:lang w:eastAsia="en-US"/>
        </w:rPr>
        <w:t>-19, sarà garantita l’erogazione dell’insegnamento con modalità che verranno comunicate in tempo utile agli studenti.</w:t>
      </w:r>
    </w:p>
    <w:p w14:paraId="4844C5E5" w14:textId="2A13F9CC" w:rsidR="002542A5" w:rsidRPr="00CE50C6" w:rsidRDefault="00CE50C6" w:rsidP="00CE50C6">
      <w:pPr>
        <w:pStyle w:val="Testo2"/>
        <w:spacing w:before="120"/>
        <w:rPr>
          <w:i/>
          <w:iCs/>
        </w:rPr>
      </w:pPr>
      <w:r w:rsidRPr="00CE50C6">
        <w:rPr>
          <w:i/>
          <w:iCs/>
        </w:rPr>
        <w:t>Orario e luogo di ricevimento degli studenti</w:t>
      </w:r>
    </w:p>
    <w:p w14:paraId="3C7FBD7E" w14:textId="51691B2F" w:rsidR="006F1772" w:rsidRPr="00113A15" w:rsidRDefault="00113A15" w:rsidP="00E615B2">
      <w:pPr>
        <w:pStyle w:val="Testo2"/>
      </w:pPr>
      <w:r w:rsidRPr="00312B33">
        <w:t>L’orario ed il luogo di ricevimento degli studenti sono pubblicati sulla pagina web del docente.</w:t>
      </w:r>
    </w:p>
    <w:sectPr w:rsidR="006F1772" w:rsidRPr="00113A1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CD54" w14:textId="77777777" w:rsidR="00CA316E" w:rsidRDefault="00CA316E" w:rsidP="0062791D">
      <w:pPr>
        <w:spacing w:line="240" w:lineRule="auto"/>
      </w:pPr>
      <w:r>
        <w:separator/>
      </w:r>
    </w:p>
  </w:endnote>
  <w:endnote w:type="continuationSeparator" w:id="0">
    <w:p w14:paraId="5546AADB" w14:textId="77777777" w:rsidR="00CA316E" w:rsidRDefault="00CA316E" w:rsidP="00627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DDDA0" w14:textId="77777777" w:rsidR="00CA316E" w:rsidRDefault="00CA316E" w:rsidP="0062791D">
      <w:pPr>
        <w:spacing w:line="240" w:lineRule="auto"/>
      </w:pPr>
      <w:r>
        <w:separator/>
      </w:r>
    </w:p>
  </w:footnote>
  <w:footnote w:type="continuationSeparator" w:id="0">
    <w:p w14:paraId="6FB2B7A9" w14:textId="77777777" w:rsidR="00CA316E" w:rsidRDefault="00CA316E" w:rsidP="0062791D">
      <w:pPr>
        <w:spacing w:line="240" w:lineRule="auto"/>
      </w:pPr>
      <w:r>
        <w:continuationSeparator/>
      </w:r>
    </w:p>
  </w:footnote>
  <w:footnote w:id="1">
    <w:p w14:paraId="72195A5E" w14:textId="2902B6BC" w:rsidR="0052064C" w:rsidRDefault="005206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9AA"/>
    <w:multiLevelType w:val="hybridMultilevel"/>
    <w:tmpl w:val="2D54336E"/>
    <w:lvl w:ilvl="0" w:tplc="EADE095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3D4D7E"/>
    <w:multiLevelType w:val="hybridMultilevel"/>
    <w:tmpl w:val="FE48B32E"/>
    <w:lvl w:ilvl="0" w:tplc="A77495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F257DF"/>
    <w:multiLevelType w:val="hybridMultilevel"/>
    <w:tmpl w:val="A5C4C262"/>
    <w:lvl w:ilvl="0" w:tplc="D8D27E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712A8D"/>
    <w:multiLevelType w:val="hybridMultilevel"/>
    <w:tmpl w:val="7C5AF1F4"/>
    <w:lvl w:ilvl="0" w:tplc="7140025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60BC"/>
    <w:rsid w:val="00044156"/>
    <w:rsid w:val="00093ED3"/>
    <w:rsid w:val="00113A15"/>
    <w:rsid w:val="00187B99"/>
    <w:rsid w:val="001C4CED"/>
    <w:rsid w:val="001E519C"/>
    <w:rsid w:val="002014DD"/>
    <w:rsid w:val="002542A5"/>
    <w:rsid w:val="002634B8"/>
    <w:rsid w:val="003D7D70"/>
    <w:rsid w:val="00470E53"/>
    <w:rsid w:val="004C56BC"/>
    <w:rsid w:val="004D1217"/>
    <w:rsid w:val="004D6008"/>
    <w:rsid w:val="005027BA"/>
    <w:rsid w:val="0052064C"/>
    <w:rsid w:val="005B1F54"/>
    <w:rsid w:val="005C5620"/>
    <w:rsid w:val="005F2ED3"/>
    <w:rsid w:val="0062791D"/>
    <w:rsid w:val="006364C5"/>
    <w:rsid w:val="006E2860"/>
    <w:rsid w:val="006F1772"/>
    <w:rsid w:val="00871C14"/>
    <w:rsid w:val="008A1204"/>
    <w:rsid w:val="008E32A4"/>
    <w:rsid w:val="00900CCA"/>
    <w:rsid w:val="00902C1D"/>
    <w:rsid w:val="00924B77"/>
    <w:rsid w:val="00940DA2"/>
    <w:rsid w:val="009774C0"/>
    <w:rsid w:val="009E055C"/>
    <w:rsid w:val="00A26122"/>
    <w:rsid w:val="00A74F6F"/>
    <w:rsid w:val="00AB2642"/>
    <w:rsid w:val="00AD7557"/>
    <w:rsid w:val="00B51253"/>
    <w:rsid w:val="00B525CC"/>
    <w:rsid w:val="00BE7A29"/>
    <w:rsid w:val="00CA316E"/>
    <w:rsid w:val="00CC0F6B"/>
    <w:rsid w:val="00CE50C6"/>
    <w:rsid w:val="00D404F2"/>
    <w:rsid w:val="00D73F80"/>
    <w:rsid w:val="00DC2EE2"/>
    <w:rsid w:val="00DF051C"/>
    <w:rsid w:val="00DF6942"/>
    <w:rsid w:val="00E607E6"/>
    <w:rsid w:val="00E615B2"/>
    <w:rsid w:val="00E76B83"/>
    <w:rsid w:val="00EB684F"/>
    <w:rsid w:val="00ED3F90"/>
    <w:rsid w:val="00ED5D89"/>
    <w:rsid w:val="00FA3511"/>
    <w:rsid w:val="00FB3A89"/>
    <w:rsid w:val="00FE59AE"/>
    <w:rsid w:val="00FF5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62791D"/>
    <w:rPr>
      <w:rFonts w:eastAsia="Calibri"/>
      <w:szCs w:val="22"/>
      <w:lang w:eastAsia="en-US"/>
    </w:rPr>
  </w:style>
  <w:style w:type="paragraph" w:styleId="Pidipagina">
    <w:name w:val="footer"/>
    <w:basedOn w:val="Normale"/>
    <w:link w:val="PidipaginaCarattere"/>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62791D"/>
    <w:rPr>
      <w:rFonts w:eastAsia="Calibri"/>
      <w:szCs w:val="22"/>
      <w:lang w:eastAsia="en-US"/>
    </w:rPr>
  </w:style>
  <w:style w:type="paragraph" w:styleId="Paragrafoelenco">
    <w:name w:val="List Paragraph"/>
    <w:basedOn w:val="Normale"/>
    <w:uiPriority w:val="34"/>
    <w:qFormat/>
    <w:rsid w:val="0062791D"/>
    <w:pPr>
      <w:ind w:left="720"/>
      <w:contextualSpacing/>
    </w:pPr>
  </w:style>
  <w:style w:type="paragraph" w:styleId="Testofumetto">
    <w:name w:val="Balloon Text"/>
    <w:basedOn w:val="Normale"/>
    <w:link w:val="TestofumettoCarattere"/>
    <w:semiHidden/>
    <w:unhideWhenUsed/>
    <w:rsid w:val="00BE7A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E7A29"/>
    <w:rPr>
      <w:rFonts w:ascii="Segoe UI" w:hAnsi="Segoe UI" w:cs="Segoe UI"/>
      <w:sz w:val="18"/>
      <w:szCs w:val="18"/>
    </w:rPr>
  </w:style>
  <w:style w:type="paragraph" w:styleId="Testonotaapidipagina">
    <w:name w:val="footnote text"/>
    <w:basedOn w:val="Normale"/>
    <w:link w:val="TestonotaapidipaginaCarattere"/>
    <w:semiHidden/>
    <w:unhideWhenUsed/>
    <w:rsid w:val="0052064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2064C"/>
  </w:style>
  <w:style w:type="character" w:styleId="Rimandonotaapidipagina">
    <w:name w:val="footnote reference"/>
    <w:basedOn w:val="Carpredefinitoparagrafo"/>
    <w:semiHidden/>
    <w:unhideWhenUsed/>
    <w:rsid w:val="0052064C"/>
    <w:rPr>
      <w:vertAlign w:val="superscript"/>
    </w:rPr>
  </w:style>
  <w:style w:type="character" w:styleId="Collegamentoipertestuale">
    <w:name w:val="Hyperlink"/>
    <w:basedOn w:val="Carpredefinitoparagrafo"/>
    <w:unhideWhenUsed/>
    <w:rsid w:val="0052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62791D"/>
    <w:rPr>
      <w:rFonts w:eastAsia="Calibri"/>
      <w:szCs w:val="22"/>
      <w:lang w:eastAsia="en-US"/>
    </w:rPr>
  </w:style>
  <w:style w:type="paragraph" w:styleId="Pidipagina">
    <w:name w:val="footer"/>
    <w:basedOn w:val="Normale"/>
    <w:link w:val="PidipaginaCarattere"/>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62791D"/>
    <w:rPr>
      <w:rFonts w:eastAsia="Calibri"/>
      <w:szCs w:val="22"/>
      <w:lang w:eastAsia="en-US"/>
    </w:rPr>
  </w:style>
  <w:style w:type="paragraph" w:styleId="Paragrafoelenco">
    <w:name w:val="List Paragraph"/>
    <w:basedOn w:val="Normale"/>
    <w:uiPriority w:val="34"/>
    <w:qFormat/>
    <w:rsid w:val="0062791D"/>
    <w:pPr>
      <w:ind w:left="720"/>
      <w:contextualSpacing/>
    </w:pPr>
  </w:style>
  <w:style w:type="paragraph" w:styleId="Testofumetto">
    <w:name w:val="Balloon Text"/>
    <w:basedOn w:val="Normale"/>
    <w:link w:val="TestofumettoCarattere"/>
    <w:semiHidden/>
    <w:unhideWhenUsed/>
    <w:rsid w:val="00BE7A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E7A29"/>
    <w:rPr>
      <w:rFonts w:ascii="Segoe UI" w:hAnsi="Segoe UI" w:cs="Segoe UI"/>
      <w:sz w:val="18"/>
      <w:szCs w:val="18"/>
    </w:rPr>
  </w:style>
  <w:style w:type="paragraph" w:styleId="Testonotaapidipagina">
    <w:name w:val="footnote text"/>
    <w:basedOn w:val="Normale"/>
    <w:link w:val="TestonotaapidipaginaCarattere"/>
    <w:semiHidden/>
    <w:unhideWhenUsed/>
    <w:rsid w:val="0052064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2064C"/>
  </w:style>
  <w:style w:type="character" w:styleId="Rimandonotaapidipagina">
    <w:name w:val="footnote reference"/>
    <w:basedOn w:val="Carpredefinitoparagrafo"/>
    <w:semiHidden/>
    <w:unhideWhenUsed/>
    <w:rsid w:val="0052064C"/>
    <w:rPr>
      <w:vertAlign w:val="superscript"/>
    </w:rPr>
  </w:style>
  <w:style w:type="character" w:styleId="Collegamentoipertestuale">
    <w:name w:val="Hyperlink"/>
    <w:basedOn w:val="Carpredefinitoparagrafo"/>
    <w:unhideWhenUsed/>
    <w:rsid w:val="0052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ydsaeter/mathematics-for-economic-analysis-9780135836002-189589.html" TargetMode="External"/><Relationship Id="rId4" Type="http://schemas.microsoft.com/office/2007/relationships/stylesWithEffects" Target="stylesWithEffects.xml"/><Relationship Id="rId9" Type="http://schemas.openxmlformats.org/officeDocument/2006/relationships/hyperlink" Target="https://librerie.unicatt.it/scheda-libro/alessandro-sbuelz-andrea-tarelli/quantitative-finance-problems-and-solutions-9788892141261-69992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6FCC-5000-45C8-9858-9EDA0FC5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736</Words>
  <Characters>4692</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20</cp:revision>
  <cp:lastPrinted>2018-05-16T13:09:00Z</cp:lastPrinted>
  <dcterms:created xsi:type="dcterms:W3CDTF">2019-04-16T13:15:00Z</dcterms:created>
  <dcterms:modified xsi:type="dcterms:W3CDTF">2022-07-13T08:57:00Z</dcterms:modified>
</cp:coreProperties>
</file>