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F6182" w14:textId="77777777" w:rsidR="00F62D6A" w:rsidRPr="006905E1" w:rsidRDefault="00F62D6A" w:rsidP="00F62D6A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6905E1">
        <w:rPr>
          <w:rFonts w:ascii="Times" w:hAnsi="Times"/>
          <w:b/>
          <w:noProof/>
          <w:szCs w:val="20"/>
        </w:rPr>
        <w:t>Gestione del portafoglio</w:t>
      </w:r>
    </w:p>
    <w:p w14:paraId="0E3C9358" w14:textId="77777777" w:rsidR="002D5E17" w:rsidRDefault="00F62D6A" w:rsidP="00F62D6A">
      <w:pPr>
        <w:pStyle w:val="Titolo2"/>
      </w:pPr>
      <w:r w:rsidRPr="006905E1">
        <w:t>Prof. Elena Beccalli; Prof. Nicola Doninelli</w:t>
      </w:r>
    </w:p>
    <w:p w14:paraId="44ED45A6" w14:textId="77777777" w:rsidR="00F62D6A" w:rsidRDefault="00F62D6A" w:rsidP="00F62D6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D95D15C" w14:textId="77777777" w:rsidR="00BA52A7" w:rsidRPr="00BA52A7" w:rsidRDefault="00BA52A7" w:rsidP="00BA52A7">
      <w:pPr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Il corso si propone di offrire una visione approfondita dei principi fondamentali dell’analisi degli investimenti e della gestione di un portafoglio di strumenti finanziari. Al termine del corso i partecipanti avranno conoscenza dell’analisi degli investimenti da una prospettiva teorica ed empirica, dei fondamenti economici e delle principali tecniche di gestione dei portafogli di strumenti finanziari, nonché della valutazione e rendicontazione della performance.</w:t>
      </w:r>
    </w:p>
    <w:p w14:paraId="578DB161" w14:textId="77777777" w:rsidR="00BA52A7" w:rsidRPr="006905E1" w:rsidRDefault="00BA52A7" w:rsidP="00BA52A7">
      <w:pPr>
        <w:tabs>
          <w:tab w:val="clear" w:pos="284"/>
        </w:tabs>
        <w:spacing w:before="120" w:line="276" w:lineRule="auto"/>
        <w:rPr>
          <w:rFonts w:eastAsia="Calibri"/>
          <w:smallCaps/>
          <w:sz w:val="18"/>
          <w:szCs w:val="22"/>
          <w:lang w:eastAsia="en-US"/>
        </w:rPr>
      </w:pPr>
      <w:r w:rsidRPr="006905E1">
        <w:rPr>
          <w:rFonts w:eastAsia="Calibri"/>
          <w:smallCaps/>
          <w:sz w:val="18"/>
          <w:szCs w:val="22"/>
          <w:lang w:eastAsia="en-US"/>
        </w:rPr>
        <w:t>Obiettivi formativi che lo studente dovrebbe aver raggiunto prima di accedere al corso.</w:t>
      </w:r>
    </w:p>
    <w:p w14:paraId="71DAB2D9" w14:textId="77777777" w:rsidR="00BA52A7" w:rsidRPr="006905E1" w:rsidRDefault="00BA52A7" w:rsidP="00BA52A7">
      <w:pPr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Prima di accedere al corso lo studente dovrebbe</w:t>
      </w:r>
    </w:p>
    <w:p w14:paraId="6E0C1C26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essere in grado di calcolare valori attuali e montanti in regime di capitalizzazione discreta e continua;</w:t>
      </w:r>
    </w:p>
    <w:p w14:paraId="61A0DE9B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essere in grado di stimare il prezzo di un'azione in base agli approcci DCF e dei multipli; conoscere il significato dei principali aggregati di conto economico (EBIT, EBITDA ecc.);</w:t>
      </w:r>
    </w:p>
    <w:p w14:paraId="7388C370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essere in grado di calcolare prezzo, rendimento, duration e convessità di un'obbligazione e di calcolare tassi spot e tassi forward;</w:t>
      </w:r>
    </w:p>
    <w:p w14:paraId="60BE8570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conoscere il concetto di alfa e di beta di un titolo azionario;</w:t>
      </w:r>
    </w:p>
    <w:p w14:paraId="08120D4E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essere in grado di calcolare valore atteso e deviazione standard di una variabile casuale;</w:t>
      </w:r>
    </w:p>
    <w:p w14:paraId="3795273A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essere in grado di risolvere sistemi di equazioni lineari mediante l’algebra matriciale;</w:t>
      </w:r>
    </w:p>
    <w:p w14:paraId="700EB741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essere in grado di calcolare una matrice di varianze e covarianze e di correlazione e di conoscerne il significato;</w:t>
      </w:r>
    </w:p>
    <w:p w14:paraId="7F993AFC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essere in grado di risolvere problemi di ottimizzazione vincolata;</w:t>
      </w:r>
    </w:p>
    <w:p w14:paraId="3478D7D9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conoscere i principali strumenti derivati simmetrici e asimmetrici e i relativi metodi di valutazione di base.</w:t>
      </w:r>
    </w:p>
    <w:p w14:paraId="1AFD74E1" w14:textId="77777777" w:rsidR="00BA52A7" w:rsidRPr="006905E1" w:rsidRDefault="00BA52A7" w:rsidP="00BA52A7">
      <w:pPr>
        <w:tabs>
          <w:tab w:val="clear" w:pos="284"/>
        </w:tabs>
        <w:spacing w:before="120" w:line="276" w:lineRule="auto"/>
        <w:rPr>
          <w:rFonts w:eastAsia="Calibri"/>
          <w:smallCaps/>
          <w:sz w:val="18"/>
          <w:szCs w:val="22"/>
          <w:lang w:eastAsia="en-US"/>
        </w:rPr>
      </w:pPr>
      <w:r w:rsidRPr="006905E1">
        <w:rPr>
          <w:rFonts w:eastAsia="Calibri"/>
          <w:smallCaps/>
          <w:sz w:val="18"/>
          <w:szCs w:val="22"/>
          <w:lang w:eastAsia="en-US"/>
        </w:rPr>
        <w:t>Obiettivi formativi che lo studente dovrebbe acquisire nel corso.</w:t>
      </w:r>
    </w:p>
    <w:p w14:paraId="08799570" w14:textId="77777777" w:rsidR="00BA52A7" w:rsidRPr="006905E1" w:rsidRDefault="00BA52A7" w:rsidP="00BA52A7">
      <w:pPr>
        <w:tabs>
          <w:tab w:val="clear" w:pos="284"/>
        </w:tabs>
        <w:spacing w:line="276" w:lineRule="auto"/>
        <w:rPr>
          <w:rFonts w:eastAsia="Calibri"/>
          <w:i/>
          <w:szCs w:val="22"/>
          <w:lang w:eastAsia="en-US"/>
        </w:rPr>
      </w:pPr>
      <w:r w:rsidRPr="006905E1">
        <w:rPr>
          <w:rFonts w:eastAsia="Calibri"/>
          <w:i/>
          <w:szCs w:val="22"/>
          <w:lang w:eastAsia="en-US"/>
        </w:rPr>
        <w:t>Il processo di investimento</w:t>
      </w:r>
    </w:p>
    <w:p w14:paraId="3B6697EB" w14:textId="77777777" w:rsidR="00BA52A7" w:rsidRPr="006905E1" w:rsidRDefault="00BA52A7" w:rsidP="00BA52A7">
      <w:pPr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Dopo il completamento della trattazione dell’argomento il candidato sarà in grado di</w:t>
      </w:r>
    </w:p>
    <w:p w14:paraId="69DEEEFB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conoscere i diversi stadi del processo di gestione degli investimenti, le caratteristiche tipiche di obiettivi di investimento razionali e le loro influenze sugli obiettivi dei gestori di portafoglio;</w:t>
      </w:r>
    </w:p>
    <w:p w14:paraId="28830081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lastRenderedPageBreak/>
        <w:t>–</w:t>
      </w:r>
      <w:r w:rsidRPr="006905E1">
        <w:rPr>
          <w:rFonts w:eastAsia="Calibri"/>
          <w:lang w:eastAsia="en-US"/>
        </w:rPr>
        <w:tab/>
        <w:t>conoscere le caratteristiche tipiche delle principali strategie di investimento;</w:t>
      </w:r>
    </w:p>
    <w:p w14:paraId="44B72F3A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comprendere le ragioni e i fattori dello sviluppo dei veicoli di investimento collettivo;</w:t>
      </w:r>
    </w:p>
    <w:p w14:paraId="429BA028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conoscere vantaggi e svantaggi per gli investitori dei diversi strumenti di investimento e categorie di attività.</w:t>
      </w:r>
    </w:p>
    <w:p w14:paraId="675C016F" w14:textId="77777777" w:rsidR="00BA52A7" w:rsidRPr="006905E1" w:rsidRDefault="00BA52A7" w:rsidP="00BA52A7">
      <w:pPr>
        <w:tabs>
          <w:tab w:val="clear" w:pos="284"/>
        </w:tabs>
        <w:spacing w:before="120"/>
        <w:rPr>
          <w:rFonts w:eastAsia="Calibri"/>
          <w:i/>
          <w:szCs w:val="22"/>
          <w:lang w:eastAsia="en-US"/>
        </w:rPr>
      </w:pPr>
      <w:r w:rsidRPr="006905E1">
        <w:rPr>
          <w:rFonts w:eastAsia="Calibri"/>
          <w:i/>
          <w:szCs w:val="22"/>
          <w:lang w:eastAsia="en-US"/>
        </w:rPr>
        <w:t>La gestione di portafoglio</w:t>
      </w:r>
    </w:p>
    <w:p w14:paraId="4FAFF689" w14:textId="77777777" w:rsidR="00BA52A7" w:rsidRPr="006905E1" w:rsidRDefault="00BA52A7" w:rsidP="00BA52A7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6905E1">
        <w:rPr>
          <w:rFonts w:eastAsia="Calibri"/>
          <w:szCs w:val="22"/>
          <w:lang w:eastAsia="en-US"/>
        </w:rPr>
        <w:t>Dopo il completamento della trattazione dell’argomento il candidato sarà in grado di</w:t>
      </w:r>
    </w:p>
    <w:p w14:paraId="2C91BF3C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 xml:space="preserve">conoscere le caratteristiche e le ipotesi alla base del concetto di gestione attiva; </w:t>
      </w:r>
    </w:p>
    <w:p w14:paraId="6E6235FD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 xml:space="preserve">conoscere la definizione e le caratteristiche del concetto di asset allocation strategica; </w:t>
      </w:r>
    </w:p>
    <w:p w14:paraId="48BE18E8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 xml:space="preserve">comprendere la definizione, gli impieghi e i limiti del concetto di asset allocation tattica, il campo di applicazione e i fattori che lo influenzano; </w:t>
      </w:r>
    </w:p>
    <w:p w14:paraId="3FCE48A2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 xml:space="preserve">comprendere i fondamenti delle decisioni di security selection e gli strumenti per porle in atto; </w:t>
      </w:r>
    </w:p>
    <w:p w14:paraId="67C54C36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 xml:space="preserve">conoscere i meriti relativi e le caratteristiche della gestione passiva e i suoi fondamenti teorici; </w:t>
      </w:r>
    </w:p>
    <w:p w14:paraId="170999E6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saper definire il concetto di tracking error e saperlo calcolare e impiegare; conoscere le tecniche di gestione "absolute return".</w:t>
      </w:r>
    </w:p>
    <w:p w14:paraId="6661BDB5" w14:textId="77777777" w:rsidR="00BA52A7" w:rsidRPr="006905E1" w:rsidRDefault="00BA52A7" w:rsidP="00BA52A7">
      <w:pPr>
        <w:tabs>
          <w:tab w:val="clear" w:pos="284"/>
        </w:tabs>
        <w:spacing w:before="120"/>
        <w:rPr>
          <w:rFonts w:eastAsia="Calibri"/>
          <w:i/>
          <w:szCs w:val="22"/>
          <w:lang w:eastAsia="en-US"/>
        </w:rPr>
      </w:pPr>
      <w:r w:rsidRPr="006905E1">
        <w:rPr>
          <w:rFonts w:eastAsia="Calibri"/>
          <w:i/>
          <w:szCs w:val="22"/>
          <w:lang w:eastAsia="en-US"/>
        </w:rPr>
        <w:t>La gestione dei portafogli azionari</w:t>
      </w:r>
    </w:p>
    <w:p w14:paraId="4EB7A896" w14:textId="77777777" w:rsidR="00BA52A7" w:rsidRPr="006905E1" w:rsidRDefault="00BA52A7" w:rsidP="00BA52A7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6905E1">
        <w:rPr>
          <w:rFonts w:eastAsia="Calibri"/>
          <w:szCs w:val="22"/>
          <w:lang w:eastAsia="en-US"/>
        </w:rPr>
        <w:t>Al termine della trattazione dell’argomento, il candidato sarà in grado di</w:t>
      </w:r>
    </w:p>
    <w:p w14:paraId="76CB688B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conoscere l’evidenza empirica in merito ai rendimenti associati a strategie di trading basate su analisi fondamentale con riguardo a stili di investimento contrarian e momentum</w:t>
      </w:r>
      <w:r>
        <w:rPr>
          <w:rFonts w:eastAsia="Calibri"/>
          <w:lang w:eastAsia="en-US"/>
        </w:rPr>
        <w:t xml:space="preserve"> nonché saper applicare anche sul campo tali strategie</w:t>
      </w:r>
      <w:r w:rsidRPr="006905E1">
        <w:rPr>
          <w:rFonts w:eastAsia="Calibri"/>
          <w:lang w:eastAsia="en-US"/>
        </w:rPr>
        <w:t>;</w:t>
      </w:r>
    </w:p>
    <w:p w14:paraId="74768578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conoscere l’evidenza empirica in merito ai rendimenti associati a strategie di trading basate su analisi tecnica con riguardo a stili di investimento contrarian e momentum</w:t>
      </w:r>
      <w:r>
        <w:rPr>
          <w:rFonts w:eastAsia="Calibri"/>
          <w:lang w:eastAsia="en-US"/>
        </w:rPr>
        <w:t xml:space="preserve"> nonché saper applicare anche sul campo tali strategie</w:t>
      </w:r>
      <w:r w:rsidRPr="006905E1">
        <w:rPr>
          <w:rFonts w:eastAsia="Calibri"/>
          <w:lang w:eastAsia="en-US"/>
        </w:rPr>
        <w:t>;</w:t>
      </w:r>
    </w:p>
    <w:p w14:paraId="01EB38DF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riconciliare in una prospettiva teorica e empirica le strategie di trading contrarian e momentum in ambito di analisi fondamentale e tecnica;</w:t>
      </w:r>
    </w:p>
    <w:p w14:paraId="37F16242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comprendere la relazione che lega le informazioni di natura finanziaria e i prezzi di mercato;</w:t>
      </w:r>
    </w:p>
    <w:p w14:paraId="42534E01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applicare le conoscenze in merito alla relazione tra informazioni finanziarie e prezzi di mercato ai casi di IPO (initial public offering) e ai titoli tecnologici;</w:t>
      </w:r>
    </w:p>
    <w:p w14:paraId="10E4468C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comprendere le dinamiche negli errori di previsione degli analisti finanziari e le principali determinanti economiche e comportamentali di tali errori.</w:t>
      </w:r>
    </w:p>
    <w:p w14:paraId="20731598" w14:textId="77777777" w:rsidR="00BA52A7" w:rsidRPr="006905E1" w:rsidRDefault="00BA52A7" w:rsidP="00BA52A7">
      <w:pPr>
        <w:tabs>
          <w:tab w:val="clear" w:pos="284"/>
        </w:tabs>
        <w:spacing w:before="120"/>
        <w:rPr>
          <w:rFonts w:eastAsia="Calibri"/>
          <w:i/>
          <w:szCs w:val="22"/>
          <w:lang w:eastAsia="en-US"/>
        </w:rPr>
      </w:pPr>
      <w:r w:rsidRPr="006905E1">
        <w:rPr>
          <w:rFonts w:eastAsia="Calibri"/>
          <w:i/>
          <w:szCs w:val="22"/>
          <w:lang w:eastAsia="en-US"/>
        </w:rPr>
        <w:t>La misurazione della performance degli investimenti</w:t>
      </w:r>
    </w:p>
    <w:p w14:paraId="7A102C8D" w14:textId="77777777" w:rsidR="00BA52A7" w:rsidRPr="006905E1" w:rsidRDefault="00BA52A7" w:rsidP="00BA52A7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6905E1">
        <w:rPr>
          <w:rFonts w:eastAsia="Calibri"/>
          <w:szCs w:val="22"/>
          <w:lang w:eastAsia="en-US"/>
        </w:rPr>
        <w:t>Dopo il completamento della trattazione dell’argomento il candidato sarà in grado di</w:t>
      </w:r>
    </w:p>
    <w:p w14:paraId="598A103D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lastRenderedPageBreak/>
        <w:t>–</w:t>
      </w:r>
      <w:r w:rsidRPr="006905E1">
        <w:rPr>
          <w:rFonts w:eastAsia="Calibri"/>
          <w:lang w:eastAsia="en-US"/>
        </w:rPr>
        <w:tab/>
        <w:t>conoscere caratteristiche, vantaggi e limiti dell’impiego dei diversi indicatori di tendenza centrale e di dispersione nella misurazione della performance di un portafoglio; saperli calcolare;</w:t>
      </w:r>
    </w:p>
    <w:p w14:paraId="209DC71C" w14:textId="7A4C4B49" w:rsidR="00BA52A7" w:rsidRPr="006905E1" w:rsidRDefault="00BA52A7" w:rsidP="00093739">
      <w:pPr>
        <w:ind w:left="284" w:hanging="284"/>
        <w:rPr>
          <w:rFonts w:eastAsia="Calibri"/>
          <w:lang w:val="en-US" w:eastAsia="en-US"/>
        </w:rPr>
      </w:pPr>
      <w:r w:rsidRPr="006905E1">
        <w:rPr>
          <w:rFonts w:eastAsia="Calibri"/>
          <w:lang w:val="en-US" w:eastAsia="en-US"/>
        </w:rPr>
        <w:t>–</w:t>
      </w:r>
      <w:r w:rsidRPr="006905E1">
        <w:rPr>
          <w:rFonts w:eastAsia="Calibri"/>
          <w:lang w:val="en-US" w:eastAsia="en-US"/>
        </w:rPr>
        <w:tab/>
        <w:t>saper calcolare money-weighted rate of return (MWRR), internal rate of return (IRR) e time-weighted rate of return (TWRR) e sapere selezionar</w:t>
      </w:r>
      <w:r w:rsidR="00074646">
        <w:rPr>
          <w:rFonts w:eastAsia="Calibri"/>
          <w:lang w:val="en-US" w:eastAsia="en-US"/>
        </w:rPr>
        <w:t>e l’indicatore appropriato alle</w:t>
      </w:r>
      <w:r w:rsidRPr="006905E1">
        <w:rPr>
          <w:rFonts w:eastAsia="Calibri"/>
          <w:lang w:val="en-US" w:eastAsia="en-US"/>
        </w:rPr>
        <w:t xml:space="preserve"> diverse situazioni;</w:t>
      </w:r>
    </w:p>
    <w:p w14:paraId="5FEC3391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comprendere come si svolge la comparazione tra indici e la costruzione di benchmark composti;</w:t>
      </w:r>
    </w:p>
    <w:p w14:paraId="03833CF0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comprendere le motivazioni per l’impiego degli indicatori di performance risk adjusted e saperli calcolare e impiegare;</w:t>
      </w:r>
    </w:p>
    <w:p w14:paraId="5CC56EF2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conoscere la definizione, gli obiettivi e gli impieghi delle tecn</w:t>
      </w:r>
      <w:r>
        <w:rPr>
          <w:rFonts w:eastAsia="Calibri"/>
          <w:lang w:eastAsia="en-US"/>
        </w:rPr>
        <w:t>iche di performance attribution.</w:t>
      </w:r>
    </w:p>
    <w:p w14:paraId="1D3E16C1" w14:textId="77777777" w:rsidR="00BA52A7" w:rsidRPr="006905E1" w:rsidRDefault="00BA52A7" w:rsidP="00BA52A7">
      <w:pPr>
        <w:tabs>
          <w:tab w:val="clear" w:pos="284"/>
        </w:tabs>
        <w:spacing w:before="120"/>
        <w:rPr>
          <w:rFonts w:eastAsia="Calibri"/>
          <w:i/>
          <w:szCs w:val="22"/>
          <w:lang w:eastAsia="en-US"/>
        </w:rPr>
      </w:pPr>
      <w:r w:rsidRPr="006905E1">
        <w:rPr>
          <w:rFonts w:eastAsia="Calibri"/>
          <w:i/>
          <w:szCs w:val="22"/>
          <w:lang w:eastAsia="en-US"/>
        </w:rPr>
        <w:t>Finanza comportamentale e gestione del portafoglio</w:t>
      </w:r>
    </w:p>
    <w:p w14:paraId="71FB9F9C" w14:textId="77777777" w:rsidR="00BA52A7" w:rsidRPr="006905E1" w:rsidRDefault="00BA52A7" w:rsidP="00BA52A7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6905E1">
        <w:rPr>
          <w:rFonts w:eastAsia="Calibri"/>
          <w:szCs w:val="22"/>
          <w:lang w:eastAsia="en-US"/>
        </w:rPr>
        <w:t>Al termine della trattazione dell’argomento, il candidato sarà in grado di</w:t>
      </w:r>
    </w:p>
    <w:p w14:paraId="5D271809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conoscere le principali distorsioni cognitive e emotive che influenzano il processo di investimento</w:t>
      </w:r>
      <w:r>
        <w:rPr>
          <w:rFonts w:eastAsia="Calibri"/>
          <w:lang w:eastAsia="en-US"/>
        </w:rPr>
        <w:t xml:space="preserve"> nonché saperne valutare criticamente le implicazioni sul campo</w:t>
      </w:r>
      <w:r w:rsidRPr="006905E1">
        <w:rPr>
          <w:rFonts w:eastAsia="Calibri"/>
          <w:lang w:eastAsia="en-US"/>
        </w:rPr>
        <w:t>;</w:t>
      </w:r>
    </w:p>
    <w:p w14:paraId="3FD1EE8E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spiegare il legame tra anomalie di mercato e finanza comportamentale;</w:t>
      </w:r>
    </w:p>
    <w:p w14:paraId="73B99CE4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applicare le nozioni di finanza comportamentale nelle decisioni di investimento.</w:t>
      </w:r>
    </w:p>
    <w:p w14:paraId="32C4D8D4" w14:textId="77777777" w:rsidR="00BA52A7" w:rsidRPr="006905E1" w:rsidRDefault="00BA52A7" w:rsidP="00BA52A7">
      <w:pPr>
        <w:tabs>
          <w:tab w:val="clear" w:pos="284"/>
        </w:tabs>
        <w:spacing w:before="120"/>
        <w:rPr>
          <w:rFonts w:eastAsia="Calibri"/>
          <w:i/>
          <w:szCs w:val="22"/>
          <w:lang w:eastAsia="en-US"/>
        </w:rPr>
      </w:pPr>
      <w:r w:rsidRPr="006905E1">
        <w:rPr>
          <w:rFonts w:eastAsia="Calibri"/>
          <w:i/>
          <w:szCs w:val="22"/>
          <w:lang w:eastAsia="en-US"/>
        </w:rPr>
        <w:t>La gestione dei portafogli obbligazionari</w:t>
      </w:r>
    </w:p>
    <w:p w14:paraId="44BF1C8D" w14:textId="77777777" w:rsidR="00BA52A7" w:rsidRPr="006905E1" w:rsidRDefault="00BA52A7" w:rsidP="00BA52A7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6905E1">
        <w:rPr>
          <w:rFonts w:eastAsia="Calibri"/>
          <w:szCs w:val="22"/>
          <w:lang w:eastAsia="en-US"/>
        </w:rPr>
        <w:t>Dopo il completamento della trattazione dell’argomento il candidato sarà in grado di</w:t>
      </w:r>
    </w:p>
    <w:p w14:paraId="72B71766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misurare il profilo di rischio di un portafoglio obbligazionario;</w:t>
      </w:r>
    </w:p>
    <w:p w14:paraId="75099D83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conoscere i principi della gestione di portafoglio attiva contro un indice obbligazionario;</w:t>
      </w:r>
    </w:p>
    <w:p w14:paraId="0CEC955E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implementare alcune strategie di immunizzazione di portafoglio e cash flow matching;</w:t>
      </w:r>
    </w:p>
    <w:p w14:paraId="6B2AE47A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applicare tecniche di relative value nella gestione dei portafogli obbligazionari;</w:t>
      </w:r>
    </w:p>
    <w:p w14:paraId="678C1866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riconoscere i benefici della diversificazione internazionale nel bond portfolio management;</w:t>
      </w:r>
    </w:p>
    <w:p w14:paraId="0490F978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conoscere i principali strumenti derivati obbligazionari e di credito e le strategie base per il controllo del rischio di portafoglio.</w:t>
      </w:r>
    </w:p>
    <w:p w14:paraId="48BF2019" w14:textId="77777777" w:rsidR="00BA52A7" w:rsidRPr="00BA52A7" w:rsidRDefault="00BA52A7" w:rsidP="00BA52A7">
      <w:pPr>
        <w:spacing w:before="240" w:after="120"/>
        <w:rPr>
          <w:b/>
          <w:i/>
          <w:sz w:val="18"/>
        </w:rPr>
      </w:pPr>
      <w:r w:rsidRPr="00BA52A7">
        <w:rPr>
          <w:b/>
          <w:i/>
          <w:sz w:val="18"/>
        </w:rPr>
        <w:t>PROGRAMMA DEL CORSO</w:t>
      </w:r>
    </w:p>
    <w:p w14:paraId="673F3F10" w14:textId="77777777" w:rsidR="00BA52A7" w:rsidRPr="00BA52A7" w:rsidRDefault="00BA52A7" w:rsidP="00093739">
      <w:pPr>
        <w:pStyle w:val="Paragrafoelenco"/>
        <w:numPr>
          <w:ilvl w:val="0"/>
          <w:numId w:val="2"/>
        </w:numPr>
        <w:tabs>
          <w:tab w:val="clear" w:pos="284"/>
          <w:tab w:val="clear" w:pos="720"/>
        </w:tabs>
        <w:ind w:left="284" w:hanging="284"/>
        <w:rPr>
          <w:rFonts w:eastAsia="Calibri"/>
          <w:szCs w:val="20"/>
          <w:lang w:eastAsia="en-US"/>
        </w:rPr>
      </w:pPr>
      <w:r w:rsidRPr="00BA52A7">
        <w:rPr>
          <w:rFonts w:eastAsia="Calibri"/>
          <w:i/>
          <w:iCs/>
          <w:szCs w:val="20"/>
          <w:lang w:eastAsia="en-US"/>
        </w:rPr>
        <w:t>Il processo di investimento</w:t>
      </w:r>
    </w:p>
    <w:p w14:paraId="00633CCE" w14:textId="77777777" w:rsidR="00BA52A7" w:rsidRPr="00BA52A7" w:rsidRDefault="00B02450" w:rsidP="00093739">
      <w:pPr>
        <w:numPr>
          <w:ilvl w:val="1"/>
          <w:numId w:val="2"/>
        </w:numPr>
        <w:tabs>
          <w:tab w:val="clear" w:pos="284"/>
          <w:tab w:val="clear" w:pos="1440"/>
        </w:tabs>
        <w:ind w:left="284" w:hanging="284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S</w:t>
      </w:r>
      <w:r w:rsidR="00BA52A7" w:rsidRPr="00BA52A7">
        <w:rPr>
          <w:rFonts w:eastAsia="Calibri"/>
          <w:szCs w:val="20"/>
          <w:lang w:eastAsia="en-US"/>
        </w:rPr>
        <w:t>tadi del processo di gestione degli investimenti, caratteristiche tipiche di obiettivi di investimento razionali e loro influenze sugli obiettivi dei gestori di portafoglio</w:t>
      </w:r>
      <w:r>
        <w:rPr>
          <w:rFonts w:eastAsia="Calibri"/>
          <w:szCs w:val="20"/>
          <w:lang w:eastAsia="en-US"/>
        </w:rPr>
        <w:t>.</w:t>
      </w:r>
    </w:p>
    <w:p w14:paraId="7A206534" w14:textId="77777777" w:rsidR="00BA52A7" w:rsidRPr="00BA52A7" w:rsidRDefault="00B02450" w:rsidP="00093739">
      <w:pPr>
        <w:numPr>
          <w:ilvl w:val="1"/>
          <w:numId w:val="2"/>
        </w:numPr>
        <w:tabs>
          <w:tab w:val="clear" w:pos="284"/>
          <w:tab w:val="clear" w:pos="1440"/>
        </w:tabs>
        <w:ind w:left="284" w:hanging="284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lastRenderedPageBreak/>
        <w:t>C</w:t>
      </w:r>
      <w:r w:rsidR="00BA52A7" w:rsidRPr="00BA52A7">
        <w:rPr>
          <w:rFonts w:eastAsia="Calibri"/>
          <w:szCs w:val="20"/>
          <w:lang w:eastAsia="en-US"/>
        </w:rPr>
        <w:t>aratteristiche tipiche delle principali strategie di investimento</w:t>
      </w:r>
      <w:r>
        <w:rPr>
          <w:rFonts w:eastAsia="Calibri"/>
          <w:szCs w:val="20"/>
          <w:lang w:eastAsia="en-US"/>
        </w:rPr>
        <w:t>.</w:t>
      </w:r>
    </w:p>
    <w:p w14:paraId="47D768D6" w14:textId="77777777" w:rsidR="00BA52A7" w:rsidRPr="00BA52A7" w:rsidRDefault="00BA52A7" w:rsidP="00093739">
      <w:pPr>
        <w:numPr>
          <w:ilvl w:val="0"/>
          <w:numId w:val="2"/>
        </w:numPr>
        <w:tabs>
          <w:tab w:val="clear" w:pos="284"/>
          <w:tab w:val="clear" w:pos="720"/>
        </w:tabs>
        <w:ind w:left="284" w:hanging="284"/>
        <w:rPr>
          <w:rFonts w:eastAsia="Calibri"/>
          <w:szCs w:val="20"/>
          <w:lang w:eastAsia="en-US"/>
        </w:rPr>
      </w:pPr>
      <w:r w:rsidRPr="00BA52A7">
        <w:rPr>
          <w:rFonts w:eastAsia="Calibri"/>
          <w:i/>
          <w:iCs/>
          <w:szCs w:val="20"/>
          <w:lang w:eastAsia="en-US"/>
        </w:rPr>
        <w:t>La gestione di portafoglio</w:t>
      </w:r>
    </w:p>
    <w:p w14:paraId="2DDDC604" w14:textId="77777777" w:rsidR="00BA52A7" w:rsidRPr="00BA52A7" w:rsidRDefault="00B02450" w:rsidP="00B02450">
      <w:pPr>
        <w:numPr>
          <w:ilvl w:val="1"/>
          <w:numId w:val="2"/>
        </w:numPr>
        <w:tabs>
          <w:tab w:val="clear" w:pos="284"/>
          <w:tab w:val="clear" w:pos="1440"/>
        </w:tabs>
        <w:ind w:left="284" w:hanging="284"/>
        <w:rPr>
          <w:rFonts w:eastAsia="Calibri"/>
          <w:szCs w:val="20"/>
          <w:lang w:eastAsia="en-US"/>
        </w:rPr>
      </w:pPr>
      <w:r w:rsidRPr="00BA52A7">
        <w:rPr>
          <w:rFonts w:eastAsia="Calibri"/>
          <w:szCs w:val="20"/>
          <w:lang w:eastAsia="en-US"/>
        </w:rPr>
        <w:t>C</w:t>
      </w:r>
      <w:r w:rsidR="00BA52A7" w:rsidRPr="00BA52A7">
        <w:rPr>
          <w:rFonts w:eastAsia="Calibri"/>
          <w:szCs w:val="20"/>
          <w:lang w:eastAsia="en-US"/>
        </w:rPr>
        <w:t>aratteristiche e ipotesi alla base del concetto di gestione attiva</w:t>
      </w:r>
      <w:r>
        <w:rPr>
          <w:rFonts w:eastAsia="Calibri"/>
          <w:szCs w:val="20"/>
          <w:lang w:eastAsia="en-US"/>
        </w:rPr>
        <w:t>.</w:t>
      </w:r>
    </w:p>
    <w:p w14:paraId="30024CFD" w14:textId="77777777" w:rsidR="00BA52A7" w:rsidRPr="00BA52A7" w:rsidRDefault="00B02450" w:rsidP="00B02450">
      <w:pPr>
        <w:numPr>
          <w:ilvl w:val="1"/>
          <w:numId w:val="2"/>
        </w:numPr>
        <w:tabs>
          <w:tab w:val="clear" w:pos="284"/>
          <w:tab w:val="clear" w:pos="1440"/>
        </w:tabs>
        <w:ind w:left="284" w:hanging="284"/>
        <w:rPr>
          <w:rFonts w:eastAsia="Calibri"/>
          <w:szCs w:val="20"/>
          <w:lang w:eastAsia="en-US"/>
        </w:rPr>
      </w:pPr>
      <w:r w:rsidRPr="00BA52A7">
        <w:rPr>
          <w:rFonts w:eastAsia="Calibri"/>
          <w:szCs w:val="20"/>
          <w:lang w:eastAsia="en-US"/>
        </w:rPr>
        <w:t>D</w:t>
      </w:r>
      <w:r w:rsidR="00BA52A7" w:rsidRPr="00BA52A7">
        <w:rPr>
          <w:rFonts w:eastAsia="Calibri"/>
          <w:szCs w:val="20"/>
          <w:lang w:eastAsia="en-US"/>
        </w:rPr>
        <w:t>efinizione e caratteristiche del concetto di asset allocation strategica</w:t>
      </w:r>
      <w:r>
        <w:rPr>
          <w:rFonts w:eastAsia="Calibri"/>
          <w:szCs w:val="20"/>
          <w:lang w:eastAsia="en-US"/>
        </w:rPr>
        <w:t>.</w:t>
      </w:r>
    </w:p>
    <w:p w14:paraId="63504EF7" w14:textId="77777777" w:rsidR="00BA52A7" w:rsidRPr="00BA52A7" w:rsidRDefault="00B02450" w:rsidP="00B02450">
      <w:pPr>
        <w:numPr>
          <w:ilvl w:val="1"/>
          <w:numId w:val="2"/>
        </w:numPr>
        <w:tabs>
          <w:tab w:val="clear" w:pos="284"/>
          <w:tab w:val="clear" w:pos="1440"/>
        </w:tabs>
        <w:ind w:left="284" w:hanging="284"/>
        <w:rPr>
          <w:rFonts w:eastAsia="Calibri"/>
          <w:szCs w:val="20"/>
          <w:lang w:eastAsia="en-US"/>
        </w:rPr>
      </w:pPr>
      <w:r w:rsidRPr="00BA52A7">
        <w:rPr>
          <w:rFonts w:eastAsia="Calibri"/>
          <w:szCs w:val="20"/>
          <w:lang w:eastAsia="en-US"/>
        </w:rPr>
        <w:t>D</w:t>
      </w:r>
      <w:r w:rsidR="00BA52A7" w:rsidRPr="00BA52A7">
        <w:rPr>
          <w:rFonts w:eastAsia="Calibri"/>
          <w:szCs w:val="20"/>
          <w:lang w:eastAsia="en-US"/>
        </w:rPr>
        <w:t>efinizione, impieghi e limiti del concetto di asset allocation tattica, campo di applicazione e fattori che lo influenzano</w:t>
      </w:r>
      <w:r>
        <w:rPr>
          <w:rFonts w:eastAsia="Calibri"/>
          <w:szCs w:val="20"/>
          <w:lang w:eastAsia="en-US"/>
        </w:rPr>
        <w:t>.</w:t>
      </w:r>
    </w:p>
    <w:p w14:paraId="1AF23765" w14:textId="77777777" w:rsidR="00BA52A7" w:rsidRPr="00BA52A7" w:rsidRDefault="00B02450" w:rsidP="00B02450">
      <w:pPr>
        <w:numPr>
          <w:ilvl w:val="1"/>
          <w:numId w:val="2"/>
        </w:numPr>
        <w:tabs>
          <w:tab w:val="clear" w:pos="284"/>
          <w:tab w:val="clear" w:pos="1440"/>
        </w:tabs>
        <w:ind w:left="284" w:hanging="284"/>
        <w:rPr>
          <w:rFonts w:eastAsia="Calibri"/>
          <w:szCs w:val="20"/>
          <w:lang w:eastAsia="en-US"/>
        </w:rPr>
      </w:pPr>
      <w:r w:rsidRPr="00BA52A7">
        <w:rPr>
          <w:rFonts w:eastAsia="Calibri"/>
          <w:szCs w:val="20"/>
          <w:lang w:eastAsia="en-US"/>
        </w:rPr>
        <w:t>F</w:t>
      </w:r>
      <w:r w:rsidR="00BA52A7" w:rsidRPr="00BA52A7">
        <w:rPr>
          <w:rFonts w:eastAsia="Calibri"/>
          <w:szCs w:val="20"/>
          <w:lang w:eastAsia="en-US"/>
        </w:rPr>
        <w:t>ondamenti delle decisioni di security selection e gli strumenti per porle in atto</w:t>
      </w:r>
      <w:r>
        <w:rPr>
          <w:rFonts w:eastAsia="Calibri"/>
          <w:szCs w:val="20"/>
          <w:lang w:eastAsia="en-US"/>
        </w:rPr>
        <w:t>.</w:t>
      </w:r>
    </w:p>
    <w:p w14:paraId="5943D31D" w14:textId="77777777" w:rsidR="00BA52A7" w:rsidRPr="00BA52A7" w:rsidRDefault="00B02450" w:rsidP="00B02450">
      <w:pPr>
        <w:numPr>
          <w:ilvl w:val="1"/>
          <w:numId w:val="2"/>
        </w:numPr>
        <w:tabs>
          <w:tab w:val="clear" w:pos="284"/>
          <w:tab w:val="clear" w:pos="1440"/>
        </w:tabs>
        <w:ind w:left="284" w:hanging="284"/>
        <w:rPr>
          <w:rFonts w:eastAsia="Calibri"/>
          <w:szCs w:val="20"/>
          <w:lang w:eastAsia="en-US"/>
        </w:rPr>
      </w:pPr>
      <w:r w:rsidRPr="00BA52A7">
        <w:rPr>
          <w:rFonts w:eastAsia="Calibri"/>
          <w:szCs w:val="20"/>
          <w:lang w:eastAsia="en-US"/>
        </w:rPr>
        <w:t>M</w:t>
      </w:r>
      <w:r w:rsidR="00BA52A7" w:rsidRPr="00BA52A7">
        <w:rPr>
          <w:rFonts w:eastAsia="Calibri"/>
          <w:szCs w:val="20"/>
          <w:lang w:eastAsia="en-US"/>
        </w:rPr>
        <w:t>eriti relativi e caratteristiche della gestione passiva e i suoi fondamenti teorici</w:t>
      </w:r>
      <w:r>
        <w:rPr>
          <w:rFonts w:eastAsia="Calibri"/>
          <w:szCs w:val="20"/>
          <w:lang w:eastAsia="en-US"/>
        </w:rPr>
        <w:t>.</w:t>
      </w:r>
    </w:p>
    <w:p w14:paraId="1A06ECEF" w14:textId="77777777" w:rsidR="00BA52A7" w:rsidRPr="00BA52A7" w:rsidRDefault="00BA52A7" w:rsidP="00093739">
      <w:pPr>
        <w:numPr>
          <w:ilvl w:val="0"/>
          <w:numId w:val="2"/>
        </w:numPr>
        <w:tabs>
          <w:tab w:val="clear" w:pos="284"/>
          <w:tab w:val="clear" w:pos="720"/>
        </w:tabs>
        <w:ind w:left="284" w:hanging="284"/>
        <w:rPr>
          <w:rFonts w:eastAsia="Calibri"/>
          <w:szCs w:val="20"/>
          <w:lang w:eastAsia="en-US"/>
        </w:rPr>
      </w:pPr>
      <w:r w:rsidRPr="00BA52A7">
        <w:rPr>
          <w:rFonts w:eastAsia="Calibri"/>
          <w:i/>
          <w:iCs/>
          <w:szCs w:val="20"/>
          <w:lang w:eastAsia="en-US"/>
        </w:rPr>
        <w:t>Gestione</w:t>
      </w:r>
      <w:r w:rsidR="00093739">
        <w:rPr>
          <w:rFonts w:eastAsia="Calibri"/>
          <w:i/>
          <w:iCs/>
          <w:szCs w:val="20"/>
          <w:lang w:eastAsia="en-US"/>
        </w:rPr>
        <w:t xml:space="preserve"> di portafogli azionari:</w:t>
      </w:r>
    </w:p>
    <w:p w14:paraId="16BC47CC" w14:textId="77777777" w:rsidR="00BA52A7" w:rsidRPr="00BA52A7" w:rsidRDefault="00B02450" w:rsidP="00B02450">
      <w:pPr>
        <w:numPr>
          <w:ilvl w:val="1"/>
          <w:numId w:val="2"/>
        </w:numPr>
        <w:tabs>
          <w:tab w:val="clear" w:pos="284"/>
          <w:tab w:val="clear" w:pos="1440"/>
        </w:tabs>
        <w:ind w:left="284" w:hanging="284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E</w:t>
      </w:r>
      <w:r w:rsidR="00BA52A7" w:rsidRPr="00BA52A7">
        <w:rPr>
          <w:rFonts w:eastAsia="Calibri"/>
          <w:szCs w:val="20"/>
          <w:lang w:eastAsia="en-US"/>
        </w:rPr>
        <w:t>videnza empirica in merito ai rendimenti associati a strategie di trading basate su analisi fondamentale con riguardo a stili di investimento contrarian e momentum</w:t>
      </w:r>
      <w:r>
        <w:rPr>
          <w:rFonts w:eastAsia="Calibri"/>
          <w:szCs w:val="20"/>
          <w:lang w:eastAsia="en-US"/>
        </w:rPr>
        <w:t>.</w:t>
      </w:r>
    </w:p>
    <w:p w14:paraId="501B0EB6" w14:textId="77777777" w:rsidR="00BA52A7" w:rsidRPr="00BA52A7" w:rsidRDefault="00B02450" w:rsidP="00B02450">
      <w:pPr>
        <w:numPr>
          <w:ilvl w:val="1"/>
          <w:numId w:val="2"/>
        </w:numPr>
        <w:tabs>
          <w:tab w:val="clear" w:pos="284"/>
          <w:tab w:val="clear" w:pos="1440"/>
        </w:tabs>
        <w:ind w:left="284" w:hanging="284"/>
        <w:rPr>
          <w:rFonts w:eastAsia="Calibri"/>
          <w:szCs w:val="20"/>
          <w:lang w:eastAsia="en-US"/>
        </w:rPr>
      </w:pPr>
      <w:r w:rsidRPr="00BA52A7">
        <w:rPr>
          <w:rFonts w:eastAsia="Calibri"/>
          <w:szCs w:val="20"/>
          <w:lang w:eastAsia="en-US"/>
        </w:rPr>
        <w:t>E</w:t>
      </w:r>
      <w:r w:rsidR="00BA52A7" w:rsidRPr="00BA52A7">
        <w:rPr>
          <w:rFonts w:eastAsia="Calibri"/>
          <w:szCs w:val="20"/>
          <w:lang w:eastAsia="en-US"/>
        </w:rPr>
        <w:t>videnza empirica in merito ai rendimenti associati a strategie di trading basate su analisi tecnica con riguardo a stili di investimento contrarian e momentum</w:t>
      </w:r>
      <w:r>
        <w:rPr>
          <w:rFonts w:eastAsia="Calibri"/>
          <w:szCs w:val="20"/>
          <w:lang w:eastAsia="en-US"/>
        </w:rPr>
        <w:t>.</w:t>
      </w:r>
    </w:p>
    <w:p w14:paraId="39103F66" w14:textId="77777777" w:rsidR="00BA52A7" w:rsidRPr="00BA52A7" w:rsidRDefault="00B02450" w:rsidP="00B02450">
      <w:pPr>
        <w:numPr>
          <w:ilvl w:val="1"/>
          <w:numId w:val="2"/>
        </w:numPr>
        <w:tabs>
          <w:tab w:val="clear" w:pos="284"/>
          <w:tab w:val="clear" w:pos="1440"/>
        </w:tabs>
        <w:ind w:left="284" w:hanging="284"/>
        <w:rPr>
          <w:rFonts w:eastAsia="Calibri"/>
          <w:szCs w:val="20"/>
          <w:lang w:eastAsia="en-US"/>
        </w:rPr>
      </w:pPr>
      <w:r w:rsidRPr="00BA52A7">
        <w:rPr>
          <w:rFonts w:eastAsia="Calibri"/>
          <w:szCs w:val="20"/>
          <w:lang w:eastAsia="en-US"/>
        </w:rPr>
        <w:t>R</w:t>
      </w:r>
      <w:r w:rsidR="00BA52A7" w:rsidRPr="00BA52A7">
        <w:rPr>
          <w:rFonts w:eastAsia="Calibri"/>
          <w:szCs w:val="20"/>
          <w:lang w:eastAsia="en-US"/>
        </w:rPr>
        <w:t>iconciliazione in una prospettiva teorica e empirica le strategie di trading contrarian e momentum in ambito di analisi fondamentale e tecnica</w:t>
      </w:r>
      <w:r>
        <w:rPr>
          <w:rFonts w:eastAsia="Calibri"/>
          <w:szCs w:val="20"/>
          <w:lang w:eastAsia="en-US"/>
        </w:rPr>
        <w:t>.</w:t>
      </w:r>
    </w:p>
    <w:p w14:paraId="3F5CF962" w14:textId="77777777" w:rsidR="00BA52A7" w:rsidRPr="00BA52A7" w:rsidRDefault="00B02450" w:rsidP="00B02450">
      <w:pPr>
        <w:numPr>
          <w:ilvl w:val="1"/>
          <w:numId w:val="2"/>
        </w:numPr>
        <w:tabs>
          <w:tab w:val="clear" w:pos="284"/>
          <w:tab w:val="clear" w:pos="1440"/>
        </w:tabs>
        <w:ind w:left="284" w:hanging="284"/>
        <w:rPr>
          <w:rFonts w:eastAsia="Calibri"/>
          <w:szCs w:val="20"/>
          <w:lang w:eastAsia="en-US"/>
        </w:rPr>
      </w:pPr>
      <w:r w:rsidRPr="00BA52A7">
        <w:rPr>
          <w:rFonts w:eastAsia="Calibri"/>
          <w:szCs w:val="20"/>
          <w:lang w:eastAsia="en-US"/>
        </w:rPr>
        <w:t>R</w:t>
      </w:r>
      <w:r w:rsidR="00BA52A7" w:rsidRPr="00BA52A7">
        <w:rPr>
          <w:rFonts w:eastAsia="Calibri"/>
          <w:szCs w:val="20"/>
          <w:lang w:eastAsia="en-US"/>
        </w:rPr>
        <w:t>elazione che lega le informazioni di natura finanziaria e i prezzi di mercato</w:t>
      </w:r>
      <w:r>
        <w:rPr>
          <w:rFonts w:eastAsia="Calibri"/>
          <w:szCs w:val="20"/>
          <w:lang w:eastAsia="en-US"/>
        </w:rPr>
        <w:t>.</w:t>
      </w:r>
    </w:p>
    <w:p w14:paraId="6CD7E975" w14:textId="77777777" w:rsidR="00BA52A7" w:rsidRPr="00BA52A7" w:rsidRDefault="00B02450" w:rsidP="00B02450">
      <w:pPr>
        <w:numPr>
          <w:ilvl w:val="1"/>
          <w:numId w:val="2"/>
        </w:numPr>
        <w:tabs>
          <w:tab w:val="clear" w:pos="284"/>
          <w:tab w:val="clear" w:pos="1440"/>
        </w:tabs>
        <w:ind w:left="284" w:hanging="284"/>
        <w:rPr>
          <w:rFonts w:eastAsia="Calibri"/>
          <w:szCs w:val="20"/>
          <w:lang w:eastAsia="en-US"/>
        </w:rPr>
      </w:pPr>
      <w:r w:rsidRPr="00BA52A7">
        <w:rPr>
          <w:rFonts w:eastAsia="Calibri"/>
          <w:szCs w:val="20"/>
          <w:lang w:eastAsia="en-US"/>
        </w:rPr>
        <w:t>R</w:t>
      </w:r>
      <w:r w:rsidR="00BA52A7" w:rsidRPr="00BA52A7">
        <w:rPr>
          <w:rFonts w:eastAsia="Calibri"/>
          <w:szCs w:val="20"/>
          <w:lang w:eastAsia="en-US"/>
        </w:rPr>
        <w:t>elazione tra informazioni finanziarie e prezzi di mercato ai casi di IPO (initial public offering) e ai titoli tecnologici</w:t>
      </w:r>
      <w:r>
        <w:rPr>
          <w:rFonts w:eastAsia="Calibri"/>
          <w:szCs w:val="20"/>
          <w:lang w:eastAsia="en-US"/>
        </w:rPr>
        <w:t>.</w:t>
      </w:r>
    </w:p>
    <w:p w14:paraId="32242AEF" w14:textId="77777777" w:rsidR="00BA52A7" w:rsidRPr="00BA52A7" w:rsidRDefault="00B02450" w:rsidP="00B02450">
      <w:pPr>
        <w:numPr>
          <w:ilvl w:val="1"/>
          <w:numId w:val="2"/>
        </w:numPr>
        <w:tabs>
          <w:tab w:val="clear" w:pos="284"/>
          <w:tab w:val="clear" w:pos="1440"/>
        </w:tabs>
        <w:ind w:left="284" w:hanging="284"/>
        <w:rPr>
          <w:rFonts w:eastAsia="Calibri"/>
          <w:szCs w:val="20"/>
          <w:lang w:eastAsia="en-US"/>
        </w:rPr>
      </w:pPr>
      <w:r w:rsidRPr="00BA52A7">
        <w:rPr>
          <w:rFonts w:eastAsia="Calibri"/>
          <w:szCs w:val="20"/>
          <w:lang w:eastAsia="en-US"/>
        </w:rPr>
        <w:t>D</w:t>
      </w:r>
      <w:r w:rsidR="00BA52A7" w:rsidRPr="00BA52A7">
        <w:rPr>
          <w:rFonts w:eastAsia="Calibri"/>
          <w:szCs w:val="20"/>
          <w:lang w:eastAsia="en-US"/>
        </w:rPr>
        <w:t>inamiche negli errori di previsione degli analisti finanziari e le principali determinanti economiche e comportamentali di tali errori</w:t>
      </w:r>
      <w:r>
        <w:rPr>
          <w:rFonts w:eastAsia="Calibri"/>
          <w:szCs w:val="20"/>
          <w:lang w:eastAsia="en-US"/>
        </w:rPr>
        <w:t>.</w:t>
      </w:r>
    </w:p>
    <w:p w14:paraId="308FEF5D" w14:textId="77777777" w:rsidR="00BA52A7" w:rsidRPr="00BA52A7" w:rsidRDefault="00BA52A7" w:rsidP="00093739">
      <w:pPr>
        <w:pStyle w:val="Paragrafoelenco"/>
        <w:numPr>
          <w:ilvl w:val="0"/>
          <w:numId w:val="3"/>
        </w:numPr>
        <w:tabs>
          <w:tab w:val="clear" w:pos="284"/>
        </w:tabs>
        <w:ind w:left="284"/>
        <w:rPr>
          <w:rFonts w:eastAsia="Calibri"/>
          <w:szCs w:val="20"/>
          <w:lang w:eastAsia="en-US"/>
        </w:rPr>
      </w:pPr>
      <w:r w:rsidRPr="00BA52A7">
        <w:rPr>
          <w:rFonts w:eastAsia="Calibri"/>
          <w:i/>
          <w:iCs/>
          <w:szCs w:val="20"/>
          <w:lang w:eastAsia="en-US"/>
        </w:rPr>
        <w:t>Valutazione della performance:</w:t>
      </w:r>
    </w:p>
    <w:p w14:paraId="1CDE82C7" w14:textId="77777777" w:rsidR="00BA52A7" w:rsidRPr="00BA52A7" w:rsidRDefault="00B02450" w:rsidP="00B02450">
      <w:pPr>
        <w:numPr>
          <w:ilvl w:val="1"/>
          <w:numId w:val="2"/>
        </w:numPr>
        <w:tabs>
          <w:tab w:val="clear" w:pos="284"/>
          <w:tab w:val="clear" w:pos="1440"/>
        </w:tabs>
        <w:ind w:left="284" w:hanging="284"/>
        <w:rPr>
          <w:rFonts w:eastAsia="Calibri"/>
          <w:szCs w:val="20"/>
          <w:lang w:eastAsia="en-US"/>
        </w:rPr>
      </w:pPr>
      <w:r w:rsidRPr="00BA52A7">
        <w:rPr>
          <w:rFonts w:eastAsia="Calibri"/>
          <w:szCs w:val="20"/>
          <w:lang w:eastAsia="en-US"/>
        </w:rPr>
        <w:t>C</w:t>
      </w:r>
      <w:r w:rsidR="00BA52A7" w:rsidRPr="00BA52A7">
        <w:rPr>
          <w:rFonts w:eastAsia="Calibri"/>
          <w:szCs w:val="20"/>
          <w:lang w:eastAsia="en-US"/>
        </w:rPr>
        <w:t>aratteristiche, vantaggi e limiti dell’impiego dei diversi indicatori di tendenza centrale e di dispersione nella misurazione dell</w:t>
      </w:r>
      <w:r>
        <w:rPr>
          <w:rFonts w:eastAsia="Calibri"/>
          <w:szCs w:val="20"/>
          <w:lang w:eastAsia="en-US"/>
        </w:rPr>
        <w:t>a performance di un portafoglio.</w:t>
      </w:r>
    </w:p>
    <w:p w14:paraId="1F4BC46B" w14:textId="77777777" w:rsidR="00BA52A7" w:rsidRPr="00B02450" w:rsidRDefault="00B02450" w:rsidP="00B02450">
      <w:pPr>
        <w:numPr>
          <w:ilvl w:val="1"/>
          <w:numId w:val="2"/>
        </w:numPr>
        <w:tabs>
          <w:tab w:val="clear" w:pos="284"/>
          <w:tab w:val="clear" w:pos="1440"/>
        </w:tabs>
        <w:ind w:left="284" w:hanging="284"/>
        <w:rPr>
          <w:rFonts w:eastAsia="Calibri"/>
          <w:szCs w:val="20"/>
          <w:lang w:val="en-US" w:eastAsia="en-US"/>
        </w:rPr>
      </w:pPr>
      <w:r w:rsidRPr="00B02450">
        <w:rPr>
          <w:rFonts w:eastAsia="Calibri"/>
          <w:szCs w:val="20"/>
          <w:lang w:val="en-US" w:eastAsia="en-US"/>
        </w:rPr>
        <w:t>M</w:t>
      </w:r>
      <w:r w:rsidR="00BA52A7" w:rsidRPr="00B02450">
        <w:rPr>
          <w:rFonts w:eastAsia="Calibri"/>
          <w:szCs w:val="20"/>
          <w:lang w:val="en-US" w:eastAsia="en-US"/>
        </w:rPr>
        <w:t>oney-weighted rate of return (MWRR), internal rate of return (IRR) e time-weighted rate of return (TWRR)</w:t>
      </w:r>
      <w:r>
        <w:rPr>
          <w:rFonts w:eastAsia="Calibri"/>
          <w:szCs w:val="20"/>
          <w:lang w:val="en-US" w:eastAsia="en-US"/>
        </w:rPr>
        <w:t>.</w:t>
      </w:r>
    </w:p>
    <w:p w14:paraId="38BAF239" w14:textId="77777777" w:rsidR="00BA52A7" w:rsidRPr="00BA52A7" w:rsidRDefault="00B02450" w:rsidP="00B02450">
      <w:pPr>
        <w:numPr>
          <w:ilvl w:val="1"/>
          <w:numId w:val="2"/>
        </w:numPr>
        <w:tabs>
          <w:tab w:val="clear" w:pos="284"/>
          <w:tab w:val="clear" w:pos="1440"/>
        </w:tabs>
        <w:ind w:left="284" w:hanging="284"/>
        <w:rPr>
          <w:rFonts w:eastAsia="Calibri"/>
          <w:szCs w:val="20"/>
          <w:lang w:eastAsia="en-US"/>
        </w:rPr>
      </w:pPr>
      <w:r w:rsidRPr="00BA52A7">
        <w:rPr>
          <w:rFonts w:eastAsia="Calibri"/>
          <w:szCs w:val="20"/>
          <w:lang w:eastAsia="en-US"/>
        </w:rPr>
        <w:t>I</w:t>
      </w:r>
      <w:r w:rsidR="00BA52A7" w:rsidRPr="00BA52A7">
        <w:rPr>
          <w:rFonts w:eastAsia="Calibri"/>
          <w:szCs w:val="20"/>
          <w:lang w:eastAsia="en-US"/>
        </w:rPr>
        <w:t>ndicatori di performance risk adjusted</w:t>
      </w:r>
      <w:r>
        <w:rPr>
          <w:rFonts w:eastAsia="Calibri"/>
          <w:szCs w:val="20"/>
          <w:lang w:eastAsia="en-US"/>
        </w:rPr>
        <w:t>.</w:t>
      </w:r>
    </w:p>
    <w:p w14:paraId="76EB34C5" w14:textId="77777777" w:rsidR="00BA52A7" w:rsidRPr="00BA52A7" w:rsidRDefault="00B02450" w:rsidP="00B02450">
      <w:pPr>
        <w:numPr>
          <w:ilvl w:val="1"/>
          <w:numId w:val="2"/>
        </w:numPr>
        <w:tabs>
          <w:tab w:val="clear" w:pos="284"/>
          <w:tab w:val="clear" w:pos="1440"/>
        </w:tabs>
        <w:ind w:left="284" w:hanging="284"/>
        <w:rPr>
          <w:rFonts w:eastAsia="Calibri"/>
          <w:szCs w:val="20"/>
          <w:lang w:eastAsia="en-US"/>
        </w:rPr>
      </w:pPr>
      <w:r w:rsidRPr="00BA52A7">
        <w:rPr>
          <w:rFonts w:eastAsia="Calibri"/>
          <w:szCs w:val="20"/>
          <w:lang w:eastAsia="en-US"/>
        </w:rPr>
        <w:t>D</w:t>
      </w:r>
      <w:r w:rsidR="00BA52A7" w:rsidRPr="00BA52A7">
        <w:rPr>
          <w:rFonts w:eastAsia="Calibri"/>
          <w:szCs w:val="20"/>
          <w:lang w:eastAsia="en-US"/>
        </w:rPr>
        <w:t>efinizione, gli obiettivi e gli impieghi delle tecniche di performance attribution</w:t>
      </w:r>
      <w:r>
        <w:rPr>
          <w:rFonts w:eastAsia="Calibri"/>
          <w:szCs w:val="20"/>
          <w:lang w:eastAsia="en-US"/>
        </w:rPr>
        <w:t>.</w:t>
      </w:r>
    </w:p>
    <w:p w14:paraId="38544F05" w14:textId="77777777" w:rsidR="00BA52A7" w:rsidRPr="00BA52A7" w:rsidRDefault="00BA52A7" w:rsidP="00093739">
      <w:pPr>
        <w:pStyle w:val="Paragrafoelenco"/>
        <w:numPr>
          <w:ilvl w:val="0"/>
          <w:numId w:val="3"/>
        </w:numPr>
        <w:tabs>
          <w:tab w:val="clear" w:pos="284"/>
        </w:tabs>
        <w:ind w:left="284"/>
        <w:rPr>
          <w:rFonts w:eastAsia="Calibri"/>
          <w:szCs w:val="20"/>
          <w:lang w:eastAsia="en-US"/>
        </w:rPr>
      </w:pPr>
      <w:r w:rsidRPr="00BA52A7">
        <w:rPr>
          <w:rFonts w:eastAsia="Calibri"/>
          <w:i/>
          <w:iCs/>
          <w:szCs w:val="20"/>
          <w:lang w:eastAsia="en-US"/>
        </w:rPr>
        <w:t xml:space="preserve">Gestione di portafogli obbligazionari: </w:t>
      </w:r>
    </w:p>
    <w:p w14:paraId="15684A8F" w14:textId="77777777" w:rsidR="00BA52A7" w:rsidRPr="00BA52A7" w:rsidRDefault="00B02450" w:rsidP="00B02450">
      <w:pPr>
        <w:numPr>
          <w:ilvl w:val="1"/>
          <w:numId w:val="2"/>
        </w:numPr>
        <w:tabs>
          <w:tab w:val="clear" w:pos="284"/>
          <w:tab w:val="clear" w:pos="1440"/>
        </w:tabs>
        <w:ind w:left="284" w:hanging="284"/>
        <w:rPr>
          <w:rFonts w:eastAsia="Calibri"/>
          <w:szCs w:val="20"/>
          <w:lang w:eastAsia="en-US"/>
        </w:rPr>
      </w:pPr>
      <w:r w:rsidRPr="00BA52A7">
        <w:rPr>
          <w:rFonts w:eastAsia="Calibri"/>
          <w:szCs w:val="20"/>
          <w:lang w:eastAsia="en-US"/>
        </w:rPr>
        <w:t>P</w:t>
      </w:r>
      <w:r w:rsidR="00BA52A7" w:rsidRPr="00BA52A7">
        <w:rPr>
          <w:rFonts w:eastAsia="Calibri"/>
          <w:szCs w:val="20"/>
          <w:lang w:eastAsia="en-US"/>
        </w:rPr>
        <w:t>rofilo di rischio di un portafoglio obbligazionario</w:t>
      </w:r>
      <w:r>
        <w:rPr>
          <w:rFonts w:eastAsia="Calibri"/>
          <w:szCs w:val="20"/>
          <w:lang w:eastAsia="en-US"/>
        </w:rPr>
        <w:t>.</w:t>
      </w:r>
    </w:p>
    <w:p w14:paraId="5D011E53" w14:textId="77777777" w:rsidR="00BA52A7" w:rsidRPr="00BA52A7" w:rsidRDefault="00B02450" w:rsidP="00B02450">
      <w:pPr>
        <w:numPr>
          <w:ilvl w:val="1"/>
          <w:numId w:val="2"/>
        </w:numPr>
        <w:tabs>
          <w:tab w:val="clear" w:pos="284"/>
          <w:tab w:val="clear" w:pos="1440"/>
        </w:tabs>
        <w:ind w:left="284" w:hanging="284"/>
        <w:rPr>
          <w:rFonts w:eastAsia="Calibri"/>
          <w:szCs w:val="20"/>
          <w:lang w:eastAsia="en-US"/>
        </w:rPr>
      </w:pPr>
      <w:r w:rsidRPr="00BA52A7">
        <w:rPr>
          <w:rFonts w:eastAsia="Calibri"/>
          <w:szCs w:val="20"/>
          <w:lang w:eastAsia="en-US"/>
        </w:rPr>
        <w:t>P</w:t>
      </w:r>
      <w:r w:rsidR="00BA52A7" w:rsidRPr="00BA52A7">
        <w:rPr>
          <w:rFonts w:eastAsia="Calibri"/>
          <w:szCs w:val="20"/>
          <w:lang w:eastAsia="en-US"/>
        </w:rPr>
        <w:t>rincipi della gestione di portafoglio attiva contro un indice obbligazionario</w:t>
      </w:r>
      <w:r>
        <w:rPr>
          <w:rFonts w:eastAsia="Calibri"/>
          <w:szCs w:val="20"/>
          <w:lang w:eastAsia="en-US"/>
        </w:rPr>
        <w:t>.</w:t>
      </w:r>
    </w:p>
    <w:p w14:paraId="0EF52FD8" w14:textId="77777777" w:rsidR="00BA52A7" w:rsidRPr="00BA52A7" w:rsidRDefault="00B02450" w:rsidP="00B02450">
      <w:pPr>
        <w:numPr>
          <w:ilvl w:val="1"/>
          <w:numId w:val="2"/>
        </w:numPr>
        <w:tabs>
          <w:tab w:val="clear" w:pos="284"/>
          <w:tab w:val="clear" w:pos="1440"/>
        </w:tabs>
        <w:ind w:left="284" w:hanging="284"/>
        <w:rPr>
          <w:rFonts w:eastAsia="Calibri"/>
          <w:szCs w:val="20"/>
          <w:lang w:eastAsia="en-US"/>
        </w:rPr>
      </w:pPr>
      <w:r w:rsidRPr="00BA52A7">
        <w:rPr>
          <w:rFonts w:eastAsia="Calibri"/>
          <w:szCs w:val="20"/>
          <w:lang w:eastAsia="en-US"/>
        </w:rPr>
        <w:t>S</w:t>
      </w:r>
      <w:r w:rsidR="00BA52A7" w:rsidRPr="00BA52A7">
        <w:rPr>
          <w:rFonts w:eastAsia="Calibri"/>
          <w:szCs w:val="20"/>
          <w:lang w:eastAsia="en-US"/>
        </w:rPr>
        <w:t>trategie di immunizzazione di portafoglio e cash flow matching</w:t>
      </w:r>
      <w:r>
        <w:rPr>
          <w:rFonts w:eastAsia="Calibri"/>
          <w:szCs w:val="20"/>
          <w:lang w:eastAsia="en-US"/>
        </w:rPr>
        <w:t>.</w:t>
      </w:r>
    </w:p>
    <w:p w14:paraId="6F393534" w14:textId="77777777" w:rsidR="00BA52A7" w:rsidRPr="00BA52A7" w:rsidRDefault="00B02450" w:rsidP="00B02450">
      <w:pPr>
        <w:numPr>
          <w:ilvl w:val="1"/>
          <w:numId w:val="2"/>
        </w:numPr>
        <w:tabs>
          <w:tab w:val="clear" w:pos="284"/>
          <w:tab w:val="clear" w:pos="1440"/>
        </w:tabs>
        <w:ind w:left="284" w:hanging="284"/>
        <w:rPr>
          <w:rFonts w:eastAsia="Calibri"/>
          <w:szCs w:val="20"/>
          <w:lang w:eastAsia="en-US"/>
        </w:rPr>
      </w:pPr>
      <w:r w:rsidRPr="00BA52A7">
        <w:rPr>
          <w:rFonts w:eastAsia="Calibri"/>
          <w:szCs w:val="20"/>
          <w:lang w:eastAsia="en-US"/>
        </w:rPr>
        <w:t>T</w:t>
      </w:r>
      <w:r w:rsidR="00BA52A7" w:rsidRPr="00BA52A7">
        <w:rPr>
          <w:rFonts w:eastAsia="Calibri"/>
          <w:szCs w:val="20"/>
          <w:lang w:eastAsia="en-US"/>
        </w:rPr>
        <w:t>ecniche di relative value nella gestione dei portafogli obbligazionari</w:t>
      </w:r>
      <w:r>
        <w:rPr>
          <w:rFonts w:eastAsia="Calibri"/>
          <w:szCs w:val="20"/>
          <w:lang w:eastAsia="en-US"/>
        </w:rPr>
        <w:t>.</w:t>
      </w:r>
    </w:p>
    <w:p w14:paraId="00BAED87" w14:textId="77777777" w:rsidR="00BA52A7" w:rsidRPr="00BA52A7" w:rsidRDefault="00B02450" w:rsidP="00B02450">
      <w:pPr>
        <w:numPr>
          <w:ilvl w:val="1"/>
          <w:numId w:val="2"/>
        </w:numPr>
        <w:tabs>
          <w:tab w:val="clear" w:pos="284"/>
          <w:tab w:val="clear" w:pos="1440"/>
        </w:tabs>
        <w:ind w:left="284" w:hanging="284"/>
        <w:rPr>
          <w:rFonts w:eastAsia="Calibri"/>
          <w:szCs w:val="20"/>
          <w:lang w:eastAsia="en-US"/>
        </w:rPr>
      </w:pPr>
      <w:r w:rsidRPr="00BA52A7">
        <w:rPr>
          <w:rFonts w:eastAsia="Calibri"/>
          <w:szCs w:val="20"/>
          <w:lang w:eastAsia="en-US"/>
        </w:rPr>
        <w:t xml:space="preserve">I </w:t>
      </w:r>
      <w:r w:rsidR="00BA52A7" w:rsidRPr="00BA52A7">
        <w:rPr>
          <w:rFonts w:eastAsia="Calibri"/>
          <w:szCs w:val="20"/>
          <w:lang w:eastAsia="en-US"/>
        </w:rPr>
        <w:t>benefici della diversificazione internazionale nel bond portfolio management</w:t>
      </w:r>
      <w:r>
        <w:rPr>
          <w:rFonts w:eastAsia="Calibri"/>
          <w:szCs w:val="20"/>
          <w:lang w:eastAsia="en-US"/>
        </w:rPr>
        <w:t>.</w:t>
      </w:r>
    </w:p>
    <w:p w14:paraId="1E36FB3C" w14:textId="77777777" w:rsidR="00BA52A7" w:rsidRPr="00BA52A7" w:rsidRDefault="00B02450" w:rsidP="00B02450">
      <w:pPr>
        <w:numPr>
          <w:ilvl w:val="1"/>
          <w:numId w:val="2"/>
        </w:numPr>
        <w:tabs>
          <w:tab w:val="clear" w:pos="284"/>
          <w:tab w:val="clear" w:pos="1440"/>
        </w:tabs>
        <w:ind w:left="284" w:hanging="284"/>
        <w:rPr>
          <w:rFonts w:eastAsia="Calibri"/>
          <w:szCs w:val="20"/>
          <w:lang w:eastAsia="en-US"/>
        </w:rPr>
      </w:pPr>
      <w:r w:rsidRPr="00BA52A7">
        <w:rPr>
          <w:rFonts w:eastAsia="Calibri"/>
          <w:szCs w:val="20"/>
          <w:lang w:eastAsia="en-US"/>
        </w:rPr>
        <w:t>P</w:t>
      </w:r>
      <w:r w:rsidR="00BA52A7" w:rsidRPr="00BA52A7">
        <w:rPr>
          <w:rFonts w:eastAsia="Calibri"/>
          <w:szCs w:val="20"/>
          <w:lang w:eastAsia="en-US"/>
        </w:rPr>
        <w:t>rincipali strumenti derivati obbligazionari e di credito e le strategie base per il controllo del rischio di portafoglio</w:t>
      </w:r>
      <w:r>
        <w:rPr>
          <w:rFonts w:eastAsia="Calibri"/>
          <w:szCs w:val="20"/>
          <w:lang w:eastAsia="en-US"/>
        </w:rPr>
        <w:t>.</w:t>
      </w:r>
    </w:p>
    <w:p w14:paraId="3E50E033" w14:textId="3CFCB2C5" w:rsidR="00BA52A7" w:rsidRDefault="00BA52A7" w:rsidP="00BA52A7">
      <w:pPr>
        <w:keepNext/>
        <w:spacing w:before="240" w:after="120"/>
        <w:rPr>
          <w:rFonts w:eastAsia="Calibri"/>
          <w:b/>
          <w:sz w:val="18"/>
          <w:lang w:eastAsia="en-US"/>
        </w:rPr>
      </w:pPr>
      <w:r>
        <w:rPr>
          <w:rFonts w:eastAsia="Calibri"/>
          <w:b/>
          <w:i/>
          <w:sz w:val="18"/>
          <w:lang w:eastAsia="en-US"/>
        </w:rPr>
        <w:lastRenderedPageBreak/>
        <w:t>BIBLIOGRAFIA</w:t>
      </w:r>
      <w:r w:rsidR="00373768">
        <w:rPr>
          <w:rStyle w:val="Rimandonotaapidipagina"/>
          <w:rFonts w:eastAsia="Calibri"/>
          <w:b/>
          <w:i/>
          <w:sz w:val="18"/>
          <w:lang w:eastAsia="en-US"/>
        </w:rPr>
        <w:footnoteReference w:id="1"/>
      </w:r>
    </w:p>
    <w:p w14:paraId="3FB5DABC" w14:textId="67318AEB" w:rsidR="00BA52A7" w:rsidRPr="00BA52A7" w:rsidRDefault="00BA52A7" w:rsidP="00BA52A7">
      <w:pPr>
        <w:pStyle w:val="Testo2"/>
        <w:spacing w:line="240" w:lineRule="atLeast"/>
        <w:ind w:left="284" w:hanging="284"/>
        <w:rPr>
          <w:spacing w:val="-5"/>
        </w:rPr>
      </w:pPr>
      <w:r>
        <w:rPr>
          <w:smallCaps/>
          <w:sz w:val="16"/>
        </w:rPr>
        <w:t>E. Beccalli-</w:t>
      </w:r>
      <w:r w:rsidRPr="006905E1">
        <w:rPr>
          <w:smallCaps/>
          <w:sz w:val="16"/>
        </w:rPr>
        <w:t>P. Frantz</w:t>
      </w:r>
      <w:r w:rsidRPr="00BA52A7">
        <w:rPr>
          <w:smallCaps/>
          <w:spacing w:val="-5"/>
          <w:sz w:val="16"/>
        </w:rPr>
        <w:t>,</w:t>
      </w:r>
      <w:r w:rsidRPr="00BA52A7">
        <w:rPr>
          <w:i/>
          <w:spacing w:val="-5"/>
        </w:rPr>
        <w:t xml:space="preserve"> Analisi e Valutazione degli investimenti,</w:t>
      </w:r>
      <w:r w:rsidRPr="00BA52A7">
        <w:rPr>
          <w:spacing w:val="-5"/>
        </w:rPr>
        <w:t xml:space="preserve"> Carocci Editore, 2013 (capp. 7, 8, 9, 10, 11) (ISBN: 978-88-430-6798-5).</w:t>
      </w:r>
      <w:r w:rsidR="00373768">
        <w:rPr>
          <w:spacing w:val="-5"/>
        </w:rPr>
        <w:t xml:space="preserve"> </w:t>
      </w:r>
      <w:hyperlink r:id="rId9" w:history="1">
        <w:r w:rsidR="00373768" w:rsidRPr="0037376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E952421" w14:textId="77777777" w:rsidR="00BA52A7" w:rsidRDefault="00BA52A7" w:rsidP="00B02450">
      <w:pPr>
        <w:pStyle w:val="Testo1"/>
        <w:spacing w:before="0"/>
      </w:pPr>
      <w:r w:rsidRPr="006905E1">
        <w:t xml:space="preserve">Slides delle lezioni e altro materiale didattico (in particolare </w:t>
      </w:r>
      <w:r>
        <w:t xml:space="preserve">articoli e working papers), </w:t>
      </w:r>
      <w:r w:rsidRPr="006905E1">
        <w:t xml:space="preserve">messi a disposizione mediante la piattaforma </w:t>
      </w:r>
      <w:r w:rsidRPr="006905E1">
        <w:rPr>
          <w:i/>
        </w:rPr>
        <w:t>Blackboard</w:t>
      </w:r>
      <w:r w:rsidRPr="006905E1">
        <w:t>.</w:t>
      </w:r>
    </w:p>
    <w:p w14:paraId="7A97EAEA" w14:textId="77777777" w:rsidR="00BA52A7" w:rsidRPr="00752981" w:rsidRDefault="00BA52A7" w:rsidP="00B02450">
      <w:pPr>
        <w:tabs>
          <w:tab w:val="clear" w:pos="284"/>
        </w:tabs>
        <w:spacing w:before="120" w:line="220" w:lineRule="exact"/>
        <w:rPr>
          <w:rFonts w:ascii="Times" w:hAnsi="Times"/>
          <w:noProof/>
          <w:sz w:val="18"/>
          <w:szCs w:val="20"/>
        </w:rPr>
      </w:pPr>
      <w:r w:rsidRPr="00752981">
        <w:rPr>
          <w:rFonts w:ascii="Times" w:hAnsi="Times"/>
          <w:noProof/>
          <w:sz w:val="18"/>
          <w:szCs w:val="20"/>
        </w:rPr>
        <w:t>Testi consigliati</w:t>
      </w:r>
    </w:p>
    <w:p w14:paraId="311C068C" w14:textId="59C54275" w:rsidR="00BA52A7" w:rsidRPr="006905E1" w:rsidRDefault="00BA52A7" w:rsidP="00BA52A7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>
        <w:rPr>
          <w:rFonts w:ascii="Times" w:hAnsi="Times"/>
          <w:smallCaps/>
          <w:noProof/>
          <w:spacing w:val="-5"/>
          <w:sz w:val="16"/>
          <w:szCs w:val="20"/>
        </w:rPr>
        <w:t>E.J. Elton-M.J. Gruber-S.J. Brown-</w:t>
      </w:r>
      <w:r w:rsidRPr="006905E1">
        <w:rPr>
          <w:rFonts w:ascii="Times" w:hAnsi="Times"/>
          <w:smallCaps/>
          <w:noProof/>
          <w:spacing w:val="-5"/>
          <w:sz w:val="16"/>
          <w:szCs w:val="20"/>
        </w:rPr>
        <w:t>W.N. Goetzmann,</w:t>
      </w:r>
      <w:r w:rsidRPr="006905E1">
        <w:rPr>
          <w:rFonts w:ascii="Times" w:hAnsi="Times"/>
          <w:i/>
          <w:noProof/>
          <w:spacing w:val="-5"/>
          <w:sz w:val="18"/>
          <w:szCs w:val="20"/>
        </w:rPr>
        <w:t xml:space="preserve"> Teorie di portafoglio e analisi degli investimenti,</w:t>
      </w:r>
      <w:r w:rsidRPr="006905E1">
        <w:rPr>
          <w:rFonts w:ascii="Times" w:hAnsi="Times"/>
          <w:noProof/>
          <w:spacing w:val="-5"/>
          <w:sz w:val="18"/>
          <w:szCs w:val="20"/>
        </w:rPr>
        <w:t xml:space="preserve"> Apogeo, 2007 (ISBN: 978-88-503-2488-0).</w:t>
      </w:r>
      <w:r w:rsidR="00373768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0" w:history="1">
        <w:r w:rsidR="00373768" w:rsidRPr="00373768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B34064C" w14:textId="77777777" w:rsidR="00BA52A7" w:rsidRPr="006905E1" w:rsidRDefault="00BA52A7" w:rsidP="00BA52A7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pacing w:val="-5"/>
          <w:sz w:val="18"/>
          <w:szCs w:val="20"/>
          <w:lang w:val="en-US"/>
        </w:rPr>
      </w:pPr>
      <w:r w:rsidRPr="006905E1">
        <w:rPr>
          <w:rFonts w:ascii="Times" w:hAnsi="Times"/>
          <w:smallCaps/>
          <w:noProof/>
          <w:spacing w:val="-5"/>
          <w:sz w:val="16"/>
          <w:szCs w:val="20"/>
          <w:lang w:val="en-US"/>
        </w:rPr>
        <w:t>F. Fabozzi,</w:t>
      </w:r>
      <w:r w:rsidRPr="006905E1">
        <w:rPr>
          <w:rFonts w:ascii="Times" w:hAnsi="Times"/>
          <w:i/>
          <w:noProof/>
          <w:spacing w:val="-5"/>
          <w:sz w:val="18"/>
          <w:szCs w:val="20"/>
          <w:lang w:val="en-US"/>
        </w:rPr>
        <w:t xml:space="preserve"> The Handbook of Fixed Income Securities,</w:t>
      </w:r>
      <w:r w:rsidRPr="006905E1">
        <w:rPr>
          <w:rFonts w:ascii="Times" w:hAnsi="Times"/>
          <w:noProof/>
          <w:spacing w:val="-5"/>
          <w:sz w:val="18"/>
          <w:szCs w:val="20"/>
          <w:lang w:val="en-US"/>
        </w:rPr>
        <w:t xml:space="preserve"> McGraw-Hill, 2012, 8th ed. (ISBN: 978-0071768467).</w:t>
      </w:r>
    </w:p>
    <w:p w14:paraId="5D291A08" w14:textId="5DB8B252" w:rsidR="009330A7" w:rsidRPr="00471D07" w:rsidRDefault="00471D07" w:rsidP="00471D07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pacing w:val="-5"/>
          <w:sz w:val="18"/>
          <w:szCs w:val="20"/>
          <w:lang w:val="en-GB"/>
        </w:rPr>
      </w:pPr>
      <w:r w:rsidRPr="009330A7">
        <w:rPr>
          <w:rFonts w:ascii="Times" w:hAnsi="Times"/>
          <w:smallCaps/>
          <w:noProof/>
          <w:spacing w:val="-5"/>
          <w:sz w:val="16"/>
          <w:szCs w:val="20"/>
          <w:lang w:val="en-US"/>
        </w:rPr>
        <w:t>F</w:t>
      </w:r>
      <w:r>
        <w:rPr>
          <w:rFonts w:ascii="Times" w:hAnsi="Times"/>
          <w:smallCaps/>
          <w:noProof/>
          <w:spacing w:val="-5"/>
          <w:sz w:val="16"/>
          <w:szCs w:val="20"/>
          <w:lang w:val="en-US"/>
        </w:rPr>
        <w:t>.</w:t>
      </w:r>
      <w:r w:rsidRPr="009330A7">
        <w:rPr>
          <w:rFonts w:ascii="Times" w:hAnsi="Times"/>
          <w:smallCaps/>
          <w:noProof/>
          <w:spacing w:val="-5"/>
          <w:sz w:val="16"/>
          <w:szCs w:val="20"/>
          <w:lang w:val="en-US"/>
        </w:rPr>
        <w:t>K.</w:t>
      </w:r>
      <w:r>
        <w:rPr>
          <w:rFonts w:ascii="Times" w:hAnsi="Times"/>
          <w:smallCaps/>
          <w:noProof/>
          <w:spacing w:val="-5"/>
          <w:sz w:val="16"/>
          <w:szCs w:val="20"/>
          <w:lang w:val="en-US"/>
        </w:rPr>
        <w:t xml:space="preserve"> </w:t>
      </w:r>
      <w:r w:rsidR="009330A7" w:rsidRPr="009330A7">
        <w:rPr>
          <w:rFonts w:ascii="Times" w:hAnsi="Times"/>
          <w:smallCaps/>
          <w:noProof/>
          <w:spacing w:val="-5"/>
          <w:sz w:val="16"/>
          <w:szCs w:val="20"/>
          <w:lang w:val="en-US"/>
        </w:rPr>
        <w:t>Reilly</w:t>
      </w:r>
      <w:r>
        <w:rPr>
          <w:rFonts w:ascii="Times" w:hAnsi="Times"/>
          <w:smallCaps/>
          <w:noProof/>
          <w:spacing w:val="-5"/>
          <w:sz w:val="16"/>
          <w:szCs w:val="20"/>
          <w:lang w:val="en-US"/>
        </w:rPr>
        <w:t>-</w:t>
      </w:r>
      <w:r w:rsidR="009330A7" w:rsidRPr="009330A7">
        <w:rPr>
          <w:rFonts w:ascii="Times" w:hAnsi="Times"/>
          <w:smallCaps/>
          <w:noProof/>
          <w:spacing w:val="-5"/>
          <w:sz w:val="16"/>
          <w:szCs w:val="20"/>
          <w:lang w:val="en-US"/>
        </w:rPr>
        <w:t>Brown, K</w:t>
      </w:r>
      <w:r>
        <w:rPr>
          <w:rFonts w:ascii="Times" w:hAnsi="Times"/>
          <w:smallCaps/>
          <w:noProof/>
          <w:spacing w:val="-5"/>
          <w:sz w:val="16"/>
          <w:szCs w:val="20"/>
          <w:lang w:val="en-US"/>
        </w:rPr>
        <w:t>.</w:t>
      </w:r>
      <w:r w:rsidR="009330A7" w:rsidRPr="009330A7">
        <w:rPr>
          <w:rFonts w:ascii="Times" w:hAnsi="Times"/>
          <w:smallCaps/>
          <w:noProof/>
          <w:spacing w:val="-5"/>
          <w:sz w:val="16"/>
          <w:szCs w:val="20"/>
          <w:lang w:val="en-US"/>
        </w:rPr>
        <w:t>C.</w:t>
      </w:r>
      <w:r>
        <w:rPr>
          <w:rFonts w:ascii="Times" w:hAnsi="Times"/>
          <w:smallCaps/>
          <w:noProof/>
          <w:spacing w:val="-5"/>
          <w:sz w:val="16"/>
          <w:szCs w:val="20"/>
          <w:lang w:val="en-US"/>
        </w:rPr>
        <w:t>-</w:t>
      </w:r>
      <w:r w:rsidR="009330A7" w:rsidRPr="009330A7">
        <w:rPr>
          <w:rFonts w:ascii="Times" w:hAnsi="Times"/>
          <w:smallCaps/>
          <w:noProof/>
          <w:spacing w:val="-5"/>
          <w:sz w:val="16"/>
          <w:szCs w:val="20"/>
          <w:lang w:val="en-US"/>
        </w:rPr>
        <w:t>Leeds S</w:t>
      </w:r>
      <w:r>
        <w:rPr>
          <w:rFonts w:ascii="Times" w:hAnsi="Times"/>
          <w:smallCaps/>
          <w:noProof/>
          <w:spacing w:val="-5"/>
          <w:sz w:val="16"/>
          <w:szCs w:val="20"/>
          <w:lang w:val="en-US"/>
        </w:rPr>
        <w:t>.</w:t>
      </w:r>
      <w:r w:rsidR="009330A7" w:rsidRPr="009330A7">
        <w:rPr>
          <w:rFonts w:ascii="Times" w:hAnsi="Times"/>
          <w:smallCaps/>
          <w:noProof/>
          <w:spacing w:val="-5"/>
          <w:sz w:val="16"/>
          <w:szCs w:val="20"/>
          <w:lang w:val="en-US"/>
        </w:rPr>
        <w:t>J</w:t>
      </w:r>
      <w:r>
        <w:rPr>
          <w:rFonts w:ascii="Times" w:hAnsi="Times"/>
          <w:smallCaps/>
          <w:noProof/>
          <w:spacing w:val="-5"/>
          <w:sz w:val="16"/>
          <w:szCs w:val="20"/>
          <w:lang w:val="en-US"/>
        </w:rPr>
        <w:t>.,</w:t>
      </w:r>
      <w:r w:rsidR="009330A7" w:rsidRPr="009330A7">
        <w:rPr>
          <w:rFonts w:ascii="Times" w:hAnsi="Times"/>
          <w:smallCaps/>
          <w:noProof/>
          <w:spacing w:val="-5"/>
          <w:sz w:val="16"/>
          <w:szCs w:val="20"/>
          <w:lang w:val="en-US"/>
        </w:rPr>
        <w:t>.</w:t>
      </w:r>
      <w:r w:rsidR="009330A7" w:rsidRPr="009330A7">
        <w:rPr>
          <w:rFonts w:ascii="Times" w:hAnsi="Times"/>
          <w:i/>
          <w:noProof/>
          <w:spacing w:val="-5"/>
          <w:sz w:val="18"/>
          <w:szCs w:val="20"/>
          <w:lang w:val="en-US"/>
        </w:rPr>
        <w:t>Investment Analysis &amp; Portfolio</w:t>
      </w:r>
      <w:r w:rsidR="009330A7" w:rsidRPr="009330A7">
        <w:rPr>
          <w:color w:val="212121"/>
          <w:lang w:val="en-GB"/>
        </w:rPr>
        <w:t xml:space="preserve"> </w:t>
      </w:r>
      <w:r w:rsidR="009330A7" w:rsidRPr="009330A7">
        <w:rPr>
          <w:rFonts w:ascii="Times" w:hAnsi="Times"/>
          <w:i/>
          <w:noProof/>
          <w:spacing w:val="-5"/>
          <w:sz w:val="18"/>
          <w:szCs w:val="20"/>
          <w:lang w:val="en-US"/>
        </w:rPr>
        <w:t>Management</w:t>
      </w:r>
      <w:r w:rsidR="009330A7">
        <w:rPr>
          <w:rFonts w:ascii="Times" w:hAnsi="Times"/>
          <w:i/>
          <w:noProof/>
          <w:spacing w:val="-5"/>
          <w:sz w:val="18"/>
          <w:szCs w:val="20"/>
          <w:lang w:val="en-US"/>
        </w:rPr>
        <w:t xml:space="preserve">, </w:t>
      </w:r>
      <w:r w:rsidR="009330A7" w:rsidRPr="009330A7">
        <w:rPr>
          <w:rFonts w:ascii="Times" w:hAnsi="Times"/>
          <w:iCs/>
          <w:noProof/>
          <w:spacing w:val="-5"/>
          <w:sz w:val="18"/>
          <w:szCs w:val="20"/>
          <w:lang w:val="en-US"/>
        </w:rPr>
        <w:t>South-Western Pub</w:t>
      </w:r>
      <w:r w:rsidR="009330A7">
        <w:rPr>
          <w:rFonts w:ascii="Times" w:hAnsi="Times"/>
          <w:iCs/>
          <w:noProof/>
          <w:spacing w:val="-5"/>
          <w:sz w:val="18"/>
          <w:szCs w:val="20"/>
          <w:lang w:val="en-US"/>
        </w:rPr>
        <w:t>, 2018,</w:t>
      </w:r>
      <w:r w:rsidR="009330A7" w:rsidRPr="009330A7">
        <w:rPr>
          <w:rFonts w:ascii="Times" w:hAnsi="Times"/>
          <w:i/>
          <w:noProof/>
          <w:spacing w:val="-5"/>
          <w:sz w:val="18"/>
          <w:szCs w:val="20"/>
          <w:lang w:val="en-US"/>
        </w:rPr>
        <w:t xml:space="preserve"> </w:t>
      </w:r>
      <w:r w:rsidR="009330A7" w:rsidRPr="009330A7">
        <w:rPr>
          <w:rFonts w:ascii="Times" w:hAnsi="Times"/>
          <w:iCs/>
          <w:noProof/>
          <w:spacing w:val="-5"/>
          <w:sz w:val="18"/>
          <w:szCs w:val="20"/>
          <w:lang w:val="en-US"/>
        </w:rPr>
        <w:t>11</w:t>
      </w:r>
      <w:r w:rsidR="009330A7">
        <w:rPr>
          <w:rFonts w:ascii="Times" w:hAnsi="Times"/>
          <w:iCs/>
          <w:noProof/>
          <w:spacing w:val="-5"/>
          <w:sz w:val="18"/>
          <w:szCs w:val="20"/>
          <w:lang w:val="en-US"/>
        </w:rPr>
        <w:t xml:space="preserve">th </w:t>
      </w:r>
      <w:r w:rsidR="009330A7">
        <w:rPr>
          <w:rFonts w:ascii="Times" w:hAnsi="Times"/>
          <w:iCs/>
          <w:noProof/>
          <w:spacing w:val="-5"/>
          <w:sz w:val="18"/>
          <w:szCs w:val="20"/>
          <w:vertAlign w:val="superscript"/>
          <w:lang w:val="en-US"/>
        </w:rPr>
        <w:t xml:space="preserve"> </w:t>
      </w:r>
      <w:r w:rsidR="009330A7" w:rsidRPr="009330A7">
        <w:rPr>
          <w:rFonts w:ascii="Times" w:hAnsi="Times"/>
          <w:iCs/>
          <w:noProof/>
          <w:spacing w:val="-5"/>
          <w:sz w:val="18"/>
          <w:szCs w:val="20"/>
          <w:lang w:val="en-US"/>
        </w:rPr>
        <w:t>ed</w:t>
      </w:r>
      <w:r w:rsidR="009330A7">
        <w:rPr>
          <w:rFonts w:ascii="Times" w:hAnsi="Times"/>
          <w:iCs/>
          <w:noProof/>
          <w:spacing w:val="-5"/>
          <w:sz w:val="18"/>
          <w:szCs w:val="20"/>
          <w:lang w:val="en-US"/>
        </w:rPr>
        <w:t xml:space="preserve"> (</w:t>
      </w:r>
      <w:r w:rsidR="009330A7" w:rsidRPr="009330A7">
        <w:rPr>
          <w:rFonts w:ascii="Times" w:hAnsi="Times"/>
          <w:iCs/>
          <w:noProof/>
          <w:spacing w:val="-5"/>
          <w:sz w:val="18"/>
          <w:szCs w:val="20"/>
          <w:lang w:val="en-US"/>
        </w:rPr>
        <w:t>ISBN-13 : 978-1305262997</w:t>
      </w:r>
      <w:r>
        <w:rPr>
          <w:rFonts w:ascii="Times" w:hAnsi="Times"/>
          <w:iCs/>
          <w:noProof/>
          <w:spacing w:val="-5"/>
          <w:sz w:val="18"/>
          <w:szCs w:val="20"/>
          <w:lang w:val="en-US"/>
        </w:rPr>
        <w:t>)</w:t>
      </w:r>
      <w:r w:rsidR="009330A7" w:rsidRPr="009330A7">
        <w:rPr>
          <w:rFonts w:ascii="Times" w:hAnsi="Times"/>
          <w:iCs/>
          <w:noProof/>
          <w:spacing w:val="-5"/>
          <w:sz w:val="18"/>
          <w:szCs w:val="20"/>
          <w:lang w:val="en-US"/>
        </w:rPr>
        <w:t>.</w:t>
      </w:r>
    </w:p>
    <w:p w14:paraId="4769AD2B" w14:textId="77777777" w:rsidR="00BA52A7" w:rsidRDefault="00BA52A7" w:rsidP="00BA52A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C252AD4" w14:textId="77777777" w:rsidR="00BA52A7" w:rsidRPr="00BA52A7" w:rsidRDefault="00BA52A7" w:rsidP="00BA52A7">
      <w:pPr>
        <w:pStyle w:val="Testo2"/>
      </w:pPr>
      <w:r w:rsidRPr="00BA52A7">
        <w:t xml:space="preserve">Il corso prevede didattica frontale (70%), seminari di esperti della materia (5%) e un project work di gruppo “Portfolio simulation project” (25%) </w:t>
      </w:r>
      <w:r w:rsidR="0046284D">
        <w:t xml:space="preserve"> Alla prof.ssa Beccalli è affidata la trattazione dei punti 1-4 del programma, al prof. Nicola Doninelli il punto 5</w:t>
      </w:r>
      <w:r w:rsidR="0046284D" w:rsidRPr="00360D2A">
        <w:t>.</w:t>
      </w:r>
    </w:p>
    <w:p w14:paraId="78E8E98B" w14:textId="77777777" w:rsidR="00BA52A7" w:rsidRPr="00BA52A7" w:rsidRDefault="00BA52A7" w:rsidP="00BA52A7">
      <w:pPr>
        <w:pStyle w:val="Testo2"/>
      </w:pPr>
      <w:r w:rsidRPr="00BA52A7">
        <w:t>Il</w:t>
      </w:r>
      <w:r w:rsidR="00B02450">
        <w:t xml:space="preserve"> “Portfolio simulation project”</w:t>
      </w:r>
      <w:r w:rsidRPr="00BA52A7">
        <w:t xml:space="preserve"> consiste nella simulazione della gestione di un portafoglio di attività finanziarie svolta sotto la guida di operatori del settore e mediante l’uso di una piattaforma che consente l’accesso a dati reali di mercato. Nella simulazione della gestione di portafoglio ciascun gruppo (composto al massimo da 5 studenti) sarà supervisionato da operatori del settore, ai quali saranno presentati i risultati del lavoro in una sessione plenaria. Ciascun gruppo incontrerà gli operatori di settore con colloqui individuali in due momenti (uno iniziale e uno intermedio) finalizzati alla costruzione e gestione del portafoglio.</w:t>
      </w:r>
    </w:p>
    <w:p w14:paraId="1A54743B" w14:textId="77777777" w:rsidR="00BA52A7" w:rsidRDefault="00BA52A7" w:rsidP="00BA52A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4FBC34A" w14:textId="77777777" w:rsidR="00BA52A7" w:rsidRPr="006905E1" w:rsidRDefault="00BA52A7" w:rsidP="00BA52A7">
      <w:pPr>
        <w:pStyle w:val="Testo2"/>
      </w:pPr>
      <w:r w:rsidRPr="006905E1">
        <w:t xml:space="preserve">L’esame consiste in una prova scritta, composta da 4 domande, della durata complessiva di 90 minuti. </w:t>
      </w:r>
      <w:r>
        <w:t>Le 4 domande sono a risposta aperta</w:t>
      </w:r>
      <w:r w:rsidRPr="00914A7E">
        <w:t xml:space="preserve"> </w:t>
      </w:r>
      <w:r>
        <w:t xml:space="preserve">relative ai punti 1, 2, 3, </w:t>
      </w:r>
      <w:r w:rsidRPr="00914A7E">
        <w:t>4</w:t>
      </w:r>
      <w:r>
        <w:t xml:space="preserve"> e 5</w:t>
      </w:r>
      <w:r w:rsidRPr="00914A7E">
        <w:t xml:space="preserve"> del programma.</w:t>
      </w:r>
      <w:r>
        <w:t xml:space="preserve"> Il voto della prova scritta è espresso in trentesimi.</w:t>
      </w:r>
    </w:p>
    <w:p w14:paraId="397FCF24" w14:textId="77777777" w:rsidR="00BA52A7" w:rsidRDefault="00BA52A7" w:rsidP="00BA52A7">
      <w:pPr>
        <w:pStyle w:val="Testo2"/>
      </w:pPr>
      <w:r w:rsidRPr="006905E1">
        <w:t xml:space="preserve">Il </w:t>
      </w:r>
      <w:r w:rsidRPr="006905E1">
        <w:rPr>
          <w:i/>
        </w:rPr>
        <w:t>project work</w:t>
      </w:r>
      <w:r w:rsidRPr="006905E1">
        <w:t xml:space="preserve"> di gruppo “Portfolio simulation project”</w:t>
      </w:r>
      <w:r>
        <w:t xml:space="preserve"> (PSP)</w:t>
      </w:r>
      <w:r w:rsidRPr="006905E1">
        <w:t xml:space="preserve"> è parte della valutazione finale ed attrinbuisce un punteggio aggiuntivo al voto della prova scritta (pari al più a 4 punti da sommarsi al voto della prova scritta). La partecipazione al </w:t>
      </w:r>
      <w:r w:rsidRPr="006905E1">
        <w:rPr>
          <w:i/>
        </w:rPr>
        <w:t>project work</w:t>
      </w:r>
      <w:r w:rsidRPr="006905E1">
        <w:t xml:space="preserve"> di gruppo è facoltativa</w:t>
      </w:r>
      <w:r>
        <w:t xml:space="preserve"> ma fortemente consigliata</w:t>
      </w:r>
      <w:r w:rsidRPr="006905E1">
        <w:t>.</w:t>
      </w:r>
    </w:p>
    <w:p w14:paraId="773A6913" w14:textId="77777777" w:rsidR="00BA52A7" w:rsidRDefault="00BA52A7" w:rsidP="00BA52A7">
      <w:pPr>
        <w:pStyle w:val="Testo2"/>
      </w:pPr>
      <w:r>
        <w:t>Il voto finale terrà conto della:</w:t>
      </w:r>
    </w:p>
    <w:p w14:paraId="16DDE54E" w14:textId="77777777" w:rsidR="00BA52A7" w:rsidRDefault="00BA52A7" w:rsidP="00BA52A7">
      <w:pPr>
        <w:pStyle w:val="Testo2"/>
        <w:numPr>
          <w:ilvl w:val="0"/>
          <w:numId w:val="1"/>
        </w:numPr>
      </w:pPr>
      <w:r>
        <w:t xml:space="preserve">conoscenza e comprensione degli argomenti valutate mediante damande aperte tese a coprire in maniera esaustiva gli argomenti del programma al fine di verificare la </w:t>
      </w:r>
      <w:r>
        <w:lastRenderedPageBreak/>
        <w:t>capacità dello studente di formulare risposte corrette e apprfondite (45%) e di usare in maniera appropriata la terminologia specifica (5%);</w:t>
      </w:r>
    </w:p>
    <w:p w14:paraId="59B2AE49" w14:textId="77777777" w:rsidR="00BA52A7" w:rsidRDefault="00BA52A7" w:rsidP="00BA52A7">
      <w:pPr>
        <w:pStyle w:val="Testo2"/>
        <w:numPr>
          <w:ilvl w:val="0"/>
          <w:numId w:val="1"/>
        </w:numPr>
      </w:pPr>
      <w:r>
        <w:t>capacità di applicare la conoscenza valutata mediante l’applicazione delle conoscenze teoriche delle strategie di riferimento nella simulazione della gestione di portafoglio basata su data reali (20%);</w:t>
      </w:r>
    </w:p>
    <w:p w14:paraId="36D51544" w14:textId="77777777" w:rsidR="00BA52A7" w:rsidRDefault="00BA52A7" w:rsidP="00BA52A7">
      <w:pPr>
        <w:pStyle w:val="Testo2"/>
        <w:numPr>
          <w:ilvl w:val="0"/>
          <w:numId w:val="1"/>
        </w:numPr>
      </w:pPr>
      <w:r>
        <w:t>capacità di analisi critica valutata nel progetto di simulazione e in sotto-punti delle domande aperte mediante la valutazione delle strategie più appropriate nelle diverse circostanze nonché la comprensione degli errori più comuni legati all’effetuazione di scelte sul campo (20%);</w:t>
      </w:r>
    </w:p>
    <w:p w14:paraId="279D9703" w14:textId="77777777" w:rsidR="00BA52A7" w:rsidRDefault="00BA52A7" w:rsidP="00BA52A7">
      <w:pPr>
        <w:pStyle w:val="Testo2"/>
        <w:numPr>
          <w:ilvl w:val="0"/>
          <w:numId w:val="1"/>
        </w:numPr>
      </w:pPr>
      <w:r>
        <w:t>abilità comunicative valutate mediante la presentazione in una sessione plenaria davanti a esperi di settore nonché in sessione invidauli di lavoro condotte con i medesimi esperti di settore (10%). Tali abilità sono anche valutate affiancando al corso una simulazione di selezione individuale con primari operatori di settore.</w:t>
      </w:r>
    </w:p>
    <w:p w14:paraId="63B7289A" w14:textId="77777777" w:rsidR="00BA52A7" w:rsidRDefault="00BA52A7" w:rsidP="00BA52A7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049D85F9" w14:textId="77777777" w:rsidR="002053FB" w:rsidRDefault="002053FB" w:rsidP="002053FB">
      <w:pPr>
        <w:tabs>
          <w:tab w:val="clear" w:pos="284"/>
        </w:tabs>
        <w:spacing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>
        <w:rPr>
          <w:rFonts w:ascii="Times" w:hAnsi="Times"/>
          <w:i/>
          <w:noProof/>
          <w:sz w:val="18"/>
          <w:szCs w:val="20"/>
        </w:rPr>
        <w:t>Eventuale didattica in remoto</w:t>
      </w:r>
    </w:p>
    <w:p w14:paraId="2A2955C2" w14:textId="0B82E66D" w:rsidR="002053FB" w:rsidRPr="00312FA3" w:rsidRDefault="00CD1F4D" w:rsidP="00CD1F4D">
      <w:pPr>
        <w:pStyle w:val="Testo2"/>
      </w:pPr>
      <w:r>
        <w:t>Nel caso in cui le restrizioni dovute alla pandemia di Covid-19 dovessero perdurare, sarà garantita l’erogazione dell’insegnamento anche a distanza con modalità che verranno comunicate in tempo utile agli studenti.</w:t>
      </w:r>
    </w:p>
    <w:p w14:paraId="3A543C53" w14:textId="77777777" w:rsidR="00BA52A7" w:rsidRPr="00BA52A7" w:rsidRDefault="00BA52A7" w:rsidP="00074646">
      <w:pPr>
        <w:pStyle w:val="Testo2"/>
        <w:spacing w:before="120"/>
        <w:rPr>
          <w:i/>
        </w:rPr>
      </w:pPr>
      <w:r w:rsidRPr="00BA52A7">
        <w:rPr>
          <w:i/>
        </w:rPr>
        <w:t>Orario e luogo di ricevimento</w:t>
      </w:r>
    </w:p>
    <w:p w14:paraId="4C9B0E80" w14:textId="77777777" w:rsidR="00BA52A7" w:rsidRPr="001F1209" w:rsidRDefault="00407C04" w:rsidP="00BA52A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>Il</w:t>
      </w:r>
      <w:r w:rsidR="002053FB">
        <w:rPr>
          <w:rFonts w:ascii="Times" w:hAnsi="Times"/>
          <w:noProof/>
          <w:sz w:val="18"/>
          <w:szCs w:val="20"/>
        </w:rPr>
        <w:t xml:space="preserve"> </w:t>
      </w:r>
      <w:r w:rsidR="00BA52A7" w:rsidRPr="001F1209">
        <w:rPr>
          <w:rFonts w:ascii="Times" w:hAnsi="Times"/>
          <w:noProof/>
          <w:sz w:val="18"/>
          <w:szCs w:val="20"/>
        </w:rPr>
        <w:t>Prof. Elena Beccalli riceve gli studenti il mercoledì dalle ore 16,00 presso la presidenza della Facoltà di Scienze bancarie, finanziarie e assicurative (Largo Gemelli 1).</w:t>
      </w:r>
    </w:p>
    <w:p w14:paraId="73880FE0" w14:textId="77777777" w:rsidR="00F62D6A" w:rsidRPr="00BA52A7" w:rsidRDefault="00BA52A7" w:rsidP="00BA52A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1F1209">
        <w:rPr>
          <w:rFonts w:ascii="Times" w:hAnsi="Times"/>
          <w:noProof/>
          <w:sz w:val="18"/>
          <w:szCs w:val="20"/>
        </w:rPr>
        <w:t>Il Prof. Nicola Doninelli comunicherà a lezione orario e luogo di ricevimento degli studenti.</w:t>
      </w:r>
    </w:p>
    <w:sectPr w:rsidR="00F62D6A" w:rsidRPr="00BA52A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9BE05" w14:textId="77777777" w:rsidR="00373768" w:rsidRDefault="00373768" w:rsidP="00373768">
      <w:pPr>
        <w:spacing w:line="240" w:lineRule="auto"/>
      </w:pPr>
      <w:r>
        <w:separator/>
      </w:r>
    </w:p>
  </w:endnote>
  <w:endnote w:type="continuationSeparator" w:id="0">
    <w:p w14:paraId="1778B159" w14:textId="77777777" w:rsidR="00373768" w:rsidRDefault="00373768" w:rsidP="003737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44048" w14:textId="77777777" w:rsidR="00373768" w:rsidRDefault="00373768" w:rsidP="00373768">
      <w:pPr>
        <w:spacing w:line="240" w:lineRule="auto"/>
      </w:pPr>
      <w:r>
        <w:separator/>
      </w:r>
    </w:p>
  </w:footnote>
  <w:footnote w:type="continuationSeparator" w:id="0">
    <w:p w14:paraId="0C39AAD9" w14:textId="77777777" w:rsidR="00373768" w:rsidRDefault="00373768" w:rsidP="00373768">
      <w:pPr>
        <w:spacing w:line="240" w:lineRule="auto"/>
      </w:pPr>
      <w:r>
        <w:continuationSeparator/>
      </w:r>
    </w:p>
  </w:footnote>
  <w:footnote w:id="1">
    <w:p w14:paraId="456306C8" w14:textId="3DBEB38A" w:rsidR="00373768" w:rsidRDefault="0037376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BB6"/>
    <w:multiLevelType w:val="hybridMultilevel"/>
    <w:tmpl w:val="E0E41F22"/>
    <w:lvl w:ilvl="0" w:tplc="CA76BD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4712A0"/>
    <w:multiLevelType w:val="hybridMultilevel"/>
    <w:tmpl w:val="9CF87776"/>
    <w:lvl w:ilvl="0" w:tplc="371A44CA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894A56E6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923BB"/>
    <w:multiLevelType w:val="hybridMultilevel"/>
    <w:tmpl w:val="BD5E6110"/>
    <w:lvl w:ilvl="0" w:tplc="1CEE3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737006DC">
      <w:start w:val="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3A9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665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5E3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CED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287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145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BE7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6A"/>
    <w:rsid w:val="00074646"/>
    <w:rsid w:val="00093739"/>
    <w:rsid w:val="00187B99"/>
    <w:rsid w:val="002014DD"/>
    <w:rsid w:val="002053FB"/>
    <w:rsid w:val="002D5E17"/>
    <w:rsid w:val="00373768"/>
    <w:rsid w:val="00407C04"/>
    <w:rsid w:val="004605BD"/>
    <w:rsid w:val="0046284D"/>
    <w:rsid w:val="00471D07"/>
    <w:rsid w:val="004D1217"/>
    <w:rsid w:val="004D6008"/>
    <w:rsid w:val="00640794"/>
    <w:rsid w:val="0067047B"/>
    <w:rsid w:val="006F1772"/>
    <w:rsid w:val="006F38FB"/>
    <w:rsid w:val="008942E7"/>
    <w:rsid w:val="008A1204"/>
    <w:rsid w:val="008A53BC"/>
    <w:rsid w:val="00900CCA"/>
    <w:rsid w:val="00924B77"/>
    <w:rsid w:val="009330A7"/>
    <w:rsid w:val="00940DA2"/>
    <w:rsid w:val="009E055C"/>
    <w:rsid w:val="009F2D96"/>
    <w:rsid w:val="00A74F6F"/>
    <w:rsid w:val="00AD7557"/>
    <w:rsid w:val="00B02450"/>
    <w:rsid w:val="00B50C5D"/>
    <w:rsid w:val="00B51253"/>
    <w:rsid w:val="00B525CC"/>
    <w:rsid w:val="00BA52A7"/>
    <w:rsid w:val="00C02F74"/>
    <w:rsid w:val="00CD1F4D"/>
    <w:rsid w:val="00D404F2"/>
    <w:rsid w:val="00E607E6"/>
    <w:rsid w:val="00E814F0"/>
    <w:rsid w:val="00F6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DC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62D6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A52A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7376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73768"/>
  </w:style>
  <w:style w:type="character" w:styleId="Rimandonotaapidipagina">
    <w:name w:val="footnote reference"/>
    <w:basedOn w:val="Carpredefinitoparagrafo"/>
    <w:rsid w:val="00373768"/>
    <w:rPr>
      <w:vertAlign w:val="superscript"/>
    </w:rPr>
  </w:style>
  <w:style w:type="character" w:styleId="Collegamentoipertestuale">
    <w:name w:val="Hyperlink"/>
    <w:basedOn w:val="Carpredefinitoparagrafo"/>
    <w:rsid w:val="003737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62D6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A52A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7376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73768"/>
  </w:style>
  <w:style w:type="character" w:styleId="Rimandonotaapidipagina">
    <w:name w:val="footnote reference"/>
    <w:basedOn w:val="Carpredefinitoparagrafo"/>
    <w:rsid w:val="00373768"/>
    <w:rPr>
      <w:vertAlign w:val="superscript"/>
    </w:rPr>
  </w:style>
  <w:style w:type="character" w:styleId="Collegamentoipertestuale">
    <w:name w:val="Hyperlink"/>
    <w:basedOn w:val="Carpredefinitoparagrafo"/>
    <w:rsid w:val="003737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teorie-di-portafoglio-e-analisi-degli-investimenti-9788838785924-52760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beccalli-elena-frantz-pascal/analisi-e-valutazione-degli-investimenti-9788843067985-18150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A4C35-97A3-400F-B8AE-A633A750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6</Pages>
  <Words>1803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2022-05-25T08:26:00Z</dcterms:created>
  <dcterms:modified xsi:type="dcterms:W3CDTF">2022-07-13T08:41:00Z</dcterms:modified>
</cp:coreProperties>
</file>