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1D81" w14:textId="72498008" w:rsidR="00D109B6" w:rsidRPr="0028167F" w:rsidRDefault="00D109B6">
      <w:pPr>
        <w:rPr>
          <w:rFonts w:ascii="Times New Roman" w:hAnsi="Times New Roman" w:cs="Times New Roman"/>
          <w:b/>
          <w:sz w:val="20"/>
        </w:rPr>
      </w:pPr>
      <w:r w:rsidRPr="0028167F">
        <w:rPr>
          <w:rFonts w:ascii="Times New Roman" w:hAnsi="Times New Roman" w:cs="Times New Roman"/>
          <w:b/>
          <w:sz w:val="20"/>
        </w:rPr>
        <w:t>Promozione dell’health literacy</w:t>
      </w:r>
    </w:p>
    <w:p w14:paraId="02FD9166" w14:textId="084C1E94" w:rsidR="00D109B6" w:rsidRPr="0028167F" w:rsidRDefault="0029693A">
      <w:pPr>
        <w:rPr>
          <w:rFonts w:ascii="Times New Roman" w:hAnsi="Times New Roman" w:cs="Times New Roman"/>
          <w:bCs/>
          <w:smallCaps/>
          <w:sz w:val="18"/>
        </w:rPr>
      </w:pPr>
      <w:r w:rsidRPr="0028167F">
        <w:rPr>
          <w:rFonts w:ascii="Times New Roman" w:hAnsi="Times New Roman" w:cs="Times New Roman"/>
          <w:bCs/>
          <w:smallCaps/>
          <w:sz w:val="18"/>
        </w:rPr>
        <w:t>Prof. Peter Schulz</w:t>
      </w:r>
    </w:p>
    <w:p w14:paraId="14CD3DC0" w14:textId="07D58998" w:rsidR="00A40E60" w:rsidRPr="0028167F" w:rsidRDefault="0028167F" w:rsidP="0028167F">
      <w:pPr>
        <w:spacing w:before="240" w:after="120"/>
        <w:rPr>
          <w:rFonts w:ascii="Times New Roman" w:hAnsi="Times New Roman" w:cs="Times New Roman"/>
          <w:b/>
          <w:bCs/>
          <w:i/>
          <w:sz w:val="18"/>
        </w:rPr>
      </w:pPr>
      <w:r w:rsidRPr="0028167F">
        <w:rPr>
          <w:rFonts w:ascii="Times New Roman" w:hAnsi="Times New Roman" w:cs="Times New Roman"/>
          <w:b/>
          <w:bCs/>
          <w:i/>
          <w:sz w:val="18"/>
        </w:rPr>
        <w:t>OBIETTIVO DEL CORSO E RISULTATI DI APPRENDIMENTO ATTESI</w:t>
      </w:r>
    </w:p>
    <w:p w14:paraId="656B4B38" w14:textId="4013D467" w:rsidR="00D109B6" w:rsidRPr="00904E85" w:rsidRDefault="00D109B6" w:rsidP="00904E85">
      <w:pPr>
        <w:jc w:val="both"/>
        <w:rPr>
          <w:rFonts w:ascii="Times" w:hAnsi="Times" w:cs="Times"/>
          <w:sz w:val="20"/>
          <w:szCs w:val="20"/>
          <w:lang w:val="fr-FR"/>
        </w:rPr>
      </w:pPr>
      <w:r w:rsidRPr="00904E85">
        <w:rPr>
          <w:rFonts w:ascii="Times" w:hAnsi="Times" w:cs="Times"/>
          <w:sz w:val="20"/>
          <w:szCs w:val="20"/>
          <w:lang w:val="fr-FR"/>
        </w:rPr>
        <w:t xml:space="preserve">L’insegnamento si propone di fornire agli studenti le nozioni di base della health literacy ovvero della cultura della salute. </w:t>
      </w:r>
    </w:p>
    <w:p w14:paraId="4A3024BD" w14:textId="46E17B79" w:rsidR="0085608A" w:rsidRPr="00904E85" w:rsidRDefault="00D109B6" w:rsidP="00904E85">
      <w:pPr>
        <w:jc w:val="both"/>
        <w:rPr>
          <w:rFonts w:ascii="Times" w:hAnsi="Times" w:cs="Times"/>
          <w:sz w:val="20"/>
          <w:szCs w:val="20"/>
          <w:lang w:val="fr-FR"/>
        </w:rPr>
      </w:pPr>
      <w:r w:rsidRPr="00904E85">
        <w:rPr>
          <w:rFonts w:ascii="Times" w:hAnsi="Times" w:cs="Times"/>
          <w:sz w:val="20"/>
          <w:szCs w:val="20"/>
          <w:lang w:val="fr-FR"/>
        </w:rPr>
        <w:t>I risultati di apprendimento attesi sono una maggiore comprensione perchè oggigiorno la health literacy assume una importanza fondamentale nel campo della promozione della salute</w:t>
      </w:r>
      <w:r w:rsidR="00A40E60" w:rsidRPr="00904E85">
        <w:rPr>
          <w:rFonts w:ascii="Times" w:hAnsi="Times" w:cs="Times"/>
          <w:sz w:val="20"/>
          <w:szCs w:val="20"/>
          <w:lang w:val="fr-FR"/>
        </w:rPr>
        <w:t>. Lo studente conoscerà inoltre</w:t>
      </w:r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come livelli della health literacy di una determinata popolazione possono essere </w:t>
      </w:r>
      <w:proofErr w:type="gramStart"/>
      <w:r w:rsidR="00A40E60" w:rsidRPr="00904E85">
        <w:rPr>
          <w:rFonts w:ascii="Times" w:hAnsi="Times" w:cs="Times"/>
          <w:sz w:val="20"/>
          <w:szCs w:val="20"/>
          <w:lang w:val="fr-FR"/>
        </w:rPr>
        <w:t>misurati;</w:t>
      </w:r>
      <w:proofErr w:type="gram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questo include anche la capacità di distinguere tra modi migliori e modi meno affidabil</w:t>
      </w:r>
      <w:r w:rsidR="00904E85" w:rsidRPr="00904E85">
        <w:rPr>
          <w:rFonts w:ascii="Times" w:hAnsi="Times" w:cs="Times"/>
          <w:sz w:val="20"/>
          <w:szCs w:val="20"/>
          <w:lang w:val="fr-FR"/>
        </w:rPr>
        <w:t>i</w:t>
      </w:r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nella misurazione della cultura della salute. Lo studente saprà </w:t>
      </w:r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valutare </w:t>
      </w:r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quale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informazioni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(particolarmente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su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Internet) possono essere fraintes</w:t>
      </w:r>
      <w:r w:rsidR="00904E85">
        <w:rPr>
          <w:rFonts w:ascii="Times" w:hAnsi="Times" w:cs="Times"/>
          <w:sz w:val="20"/>
          <w:szCs w:val="20"/>
          <w:lang w:val="fr-FR"/>
        </w:rPr>
        <w:t>e</w:t>
      </w:r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da parte delle persone con un livello basso di health literacy. </w:t>
      </w:r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Non come ultimo </w:t>
      </w:r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lo studente sarà preparato </w:t>
      </w:r>
      <w:r w:rsidR="0085608A" w:rsidRPr="00904E85">
        <w:rPr>
          <w:rFonts w:ascii="Times" w:hAnsi="Times" w:cs="Times"/>
          <w:sz w:val="20"/>
          <w:szCs w:val="20"/>
          <w:lang w:val="fr-FR"/>
        </w:rPr>
        <w:t>per applicare concetti della cultura della salute nel campo della promozione della salute</w:t>
      </w:r>
      <w:r w:rsidR="00904E85">
        <w:rPr>
          <w:rFonts w:ascii="Times" w:hAnsi="Times" w:cs="Times"/>
          <w:sz w:val="20"/>
          <w:szCs w:val="20"/>
          <w:lang w:val="fr-FR"/>
        </w:rPr>
        <w:t>.</w:t>
      </w:r>
    </w:p>
    <w:p w14:paraId="4C36D55A" w14:textId="131AC256" w:rsidR="0029693A" w:rsidRPr="0028167F" w:rsidRDefault="0028167F" w:rsidP="0028167F">
      <w:pPr>
        <w:spacing w:before="240" w:after="120"/>
        <w:rPr>
          <w:rFonts w:ascii="Times New Roman" w:hAnsi="Times New Roman" w:cs="Times New Roman"/>
          <w:b/>
          <w:bCs/>
          <w:i/>
          <w:sz w:val="18"/>
          <w:lang w:val="fr-FR"/>
        </w:rPr>
      </w:pPr>
      <w:r w:rsidRPr="0028167F">
        <w:rPr>
          <w:rFonts w:ascii="Times New Roman" w:hAnsi="Times New Roman" w:cs="Times New Roman"/>
          <w:b/>
          <w:bCs/>
          <w:i/>
          <w:sz w:val="18"/>
          <w:lang w:val="fr-FR"/>
        </w:rPr>
        <w:t>PROGRAMMA DEL CORSO</w:t>
      </w:r>
    </w:p>
    <w:p w14:paraId="5CE6223B" w14:textId="77777777" w:rsidR="0085608A" w:rsidRPr="0028167F" w:rsidRDefault="0085608A" w:rsidP="0085608A">
      <w:pPr>
        <w:pStyle w:val="Testo1"/>
        <w:ind w:left="0" w:firstLine="0"/>
        <w:rPr>
          <w:rFonts w:ascii="Times New Roman" w:hAnsi="Times New Roman"/>
          <w:sz w:val="20"/>
          <w:szCs w:val="24"/>
        </w:rPr>
      </w:pPr>
      <w:r w:rsidRPr="0028167F">
        <w:rPr>
          <w:rFonts w:ascii="Times New Roman" w:hAnsi="Times New Roman"/>
          <w:i/>
          <w:iCs/>
          <w:sz w:val="20"/>
          <w:szCs w:val="24"/>
          <w:lang w:val="fr-FR"/>
        </w:rPr>
        <w:t>Modulo 1</w:t>
      </w:r>
      <w:r w:rsidRPr="0028167F">
        <w:rPr>
          <w:rFonts w:ascii="Times New Roman" w:hAnsi="Times New Roman"/>
          <w:sz w:val="20"/>
          <w:szCs w:val="24"/>
          <w:lang w:val="fr-FR"/>
        </w:rPr>
        <w:t xml:space="preserve"> : </w:t>
      </w:r>
      <w:r w:rsidRPr="0028167F">
        <w:rPr>
          <w:rFonts w:ascii="Times New Roman" w:hAnsi="Times New Roman"/>
          <w:sz w:val="20"/>
          <w:szCs w:val="24"/>
        </w:rPr>
        <w:t xml:space="preserve">Nelle fasi preliminari del corso, la tematica verrà introdotta approfondendo considerazioni di carattere concettuale e prendendo in esame le varie definizioni di “health literacy”. </w:t>
      </w:r>
    </w:p>
    <w:p w14:paraId="05E4D768" w14:textId="77777777" w:rsidR="0085608A" w:rsidRPr="0028167F" w:rsidRDefault="0085608A" w:rsidP="0085608A">
      <w:pPr>
        <w:pStyle w:val="Testo1"/>
        <w:ind w:left="0" w:firstLine="0"/>
        <w:rPr>
          <w:rFonts w:ascii="Times New Roman" w:hAnsi="Times New Roman"/>
          <w:sz w:val="20"/>
          <w:szCs w:val="24"/>
        </w:rPr>
      </w:pPr>
      <w:r w:rsidRPr="0028167F">
        <w:rPr>
          <w:rFonts w:ascii="Times New Roman" w:hAnsi="Times New Roman"/>
          <w:i/>
          <w:iCs/>
          <w:sz w:val="20"/>
          <w:szCs w:val="24"/>
        </w:rPr>
        <w:t>Modulo 2</w:t>
      </w:r>
      <w:r w:rsidRPr="0028167F">
        <w:rPr>
          <w:rFonts w:ascii="Times New Roman" w:hAnsi="Times New Roman"/>
          <w:sz w:val="20"/>
          <w:szCs w:val="24"/>
        </w:rPr>
        <w:t xml:space="preserve">: In un secondo momento ci si concentrerà su una sintesi delle ricerche attualmente in corso negli Stati Uniti così come in Europa e Asia. </w:t>
      </w:r>
    </w:p>
    <w:p w14:paraId="2FBF711C" w14:textId="5A5AF013" w:rsidR="0085608A" w:rsidRPr="00701EA4" w:rsidRDefault="0085608A" w:rsidP="0028167F">
      <w:pPr>
        <w:pStyle w:val="Testo1"/>
        <w:ind w:left="0" w:firstLine="0"/>
        <w:rPr>
          <w:rFonts w:ascii="Times New Roman" w:hAnsi="Times New Roman"/>
        </w:rPr>
      </w:pPr>
      <w:r w:rsidRPr="0028167F">
        <w:rPr>
          <w:rFonts w:ascii="Times New Roman" w:hAnsi="Times New Roman"/>
          <w:i/>
          <w:iCs/>
          <w:sz w:val="20"/>
          <w:szCs w:val="24"/>
        </w:rPr>
        <w:t>Modulo 3</w:t>
      </w:r>
      <w:r w:rsidRPr="0028167F">
        <w:rPr>
          <w:rFonts w:ascii="Times New Roman" w:hAnsi="Times New Roman"/>
          <w:sz w:val="20"/>
          <w:szCs w:val="24"/>
        </w:rPr>
        <w:t>: Verranno inoltre illustrate le modalità di misurazione del concetto di cultura della salute e le conseguenti problematiche e sfide che ne derivano.</w:t>
      </w:r>
    </w:p>
    <w:p w14:paraId="18705489" w14:textId="2C3B5E72" w:rsidR="0085608A" w:rsidRPr="0028167F" w:rsidRDefault="0028167F" w:rsidP="0028167F">
      <w:pPr>
        <w:spacing w:before="240" w:after="120"/>
        <w:rPr>
          <w:rFonts w:ascii="Times New Roman" w:hAnsi="Times New Roman" w:cs="Times New Roman"/>
          <w:i/>
          <w:sz w:val="18"/>
          <w:lang w:val="en-US"/>
        </w:rPr>
      </w:pPr>
      <w:r w:rsidRPr="0028167F">
        <w:rPr>
          <w:rFonts w:ascii="Times New Roman" w:hAnsi="Times New Roman" w:cs="Times New Roman"/>
          <w:b/>
          <w:bCs/>
          <w:i/>
          <w:sz w:val="18"/>
          <w:lang w:val="en-US"/>
        </w:rPr>
        <w:t>BIBLIOGRAFIA</w:t>
      </w:r>
    </w:p>
    <w:p w14:paraId="46C93EC9" w14:textId="295F7758" w:rsidR="0085608A" w:rsidRPr="00C540DA" w:rsidRDefault="0085608A" w:rsidP="0085608A">
      <w:pPr>
        <w:pStyle w:val="Testo1"/>
        <w:spacing w:before="0" w:line="240" w:lineRule="atLeast"/>
        <w:rPr>
          <w:rFonts w:ascii="Times New Roman" w:hAnsi="Times New Roman"/>
          <w:spacing w:val="-5"/>
          <w:szCs w:val="24"/>
          <w:lang w:val="en-US"/>
        </w:rPr>
      </w:pPr>
      <w:r w:rsidRPr="0028167F">
        <w:rPr>
          <w:rFonts w:ascii="Times New Roman" w:hAnsi="Times New Roman"/>
          <w:smallCaps/>
          <w:spacing w:val="-5"/>
          <w:sz w:val="16"/>
          <w:szCs w:val="24"/>
          <w:lang w:val="en-US"/>
        </w:rPr>
        <w:t>D.A. Dewaltewalt-N.D. Berkman Et Al.,</w:t>
      </w:r>
      <w:r w:rsidRPr="0028167F">
        <w:rPr>
          <w:rFonts w:ascii="Times New Roman" w:hAnsi="Times New Roman"/>
          <w:i/>
          <w:spacing w:val="-5"/>
          <w:sz w:val="16"/>
          <w:szCs w:val="24"/>
          <w:lang w:val="en-US"/>
        </w:rPr>
        <w:t xml:space="preserve"> </w:t>
      </w:r>
      <w:r w:rsidRPr="0028167F">
        <w:rPr>
          <w:rFonts w:ascii="Times New Roman" w:hAnsi="Times New Roman"/>
          <w:i/>
          <w:spacing w:val="-5"/>
          <w:szCs w:val="24"/>
          <w:lang w:val="en-US"/>
        </w:rPr>
        <w:t xml:space="preserve">Literacy and health outcomes: a systematic review of the literature. </w:t>
      </w:r>
      <w:r w:rsidRPr="00C540DA">
        <w:rPr>
          <w:rFonts w:ascii="Times New Roman" w:hAnsi="Times New Roman"/>
          <w:i/>
          <w:spacing w:val="-5"/>
          <w:szCs w:val="24"/>
          <w:lang w:val="en-US"/>
        </w:rPr>
        <w:t>J Gen Intern Med,</w:t>
      </w:r>
      <w:r w:rsidRPr="00C540DA">
        <w:rPr>
          <w:rFonts w:ascii="Times New Roman" w:hAnsi="Times New Roman"/>
          <w:spacing w:val="-5"/>
          <w:szCs w:val="24"/>
          <w:lang w:val="en-US"/>
        </w:rPr>
        <w:t xml:space="preserve"> 2004, 19(12): 1228-1239.</w:t>
      </w:r>
    </w:p>
    <w:p w14:paraId="317A74F8" w14:textId="6CC7CEA9" w:rsidR="0085608A" w:rsidRPr="0028167F" w:rsidRDefault="0028167F" w:rsidP="0085608A">
      <w:pPr>
        <w:pStyle w:val="Testo1"/>
        <w:spacing w:before="0" w:line="240" w:lineRule="atLeast"/>
        <w:rPr>
          <w:rFonts w:ascii="Times New Roman" w:hAnsi="Times New Roman"/>
          <w:spacing w:val="-5"/>
          <w:szCs w:val="24"/>
          <w:lang w:val="en-US"/>
        </w:rPr>
      </w:pPr>
      <w:r w:rsidRPr="00D6523B">
        <w:rPr>
          <w:rFonts w:ascii="Times New Roman" w:hAnsi="Times New Roman"/>
          <w:smallCaps/>
          <w:sz w:val="16"/>
          <w:szCs w:val="24"/>
          <w:lang w:val="en-US"/>
        </w:rPr>
        <w:t>L. Marciano-A.L. Camerini-P.J. Schulz</w:t>
      </w:r>
      <w:r w:rsidRPr="0028167F">
        <w:rPr>
          <w:rFonts w:ascii="Times New Roman" w:hAnsi="Times New Roman"/>
          <w:szCs w:val="24"/>
          <w:lang w:val="en-US"/>
        </w:rPr>
        <w:t xml:space="preserve">, </w:t>
      </w:r>
      <w:r w:rsidR="0085608A" w:rsidRPr="0028167F">
        <w:rPr>
          <w:rFonts w:ascii="Times New Roman" w:hAnsi="Times New Roman"/>
          <w:i/>
          <w:szCs w:val="24"/>
          <w:lang w:val="en-US"/>
        </w:rPr>
        <w:t>The role of health literacy in diabetes knowledge, self-care, and gl</w:t>
      </w:r>
      <w:r w:rsidRPr="0028167F">
        <w:rPr>
          <w:rFonts w:ascii="Times New Roman" w:hAnsi="Times New Roman"/>
          <w:i/>
          <w:szCs w:val="24"/>
          <w:lang w:val="en-US"/>
        </w:rPr>
        <w:t>ycemic control: a meta-analysis</w:t>
      </w:r>
      <w:r>
        <w:rPr>
          <w:rFonts w:ascii="Times New Roman" w:hAnsi="Times New Roman"/>
          <w:szCs w:val="24"/>
          <w:lang w:val="en-US"/>
        </w:rPr>
        <w:t>,</w:t>
      </w:r>
      <w:r w:rsidR="0085608A" w:rsidRPr="0028167F">
        <w:rPr>
          <w:rFonts w:ascii="Times New Roman" w:hAnsi="Times New Roman"/>
          <w:szCs w:val="24"/>
          <w:lang w:val="en-US"/>
        </w:rPr>
        <w:t xml:space="preserve"> Journal of General Internal Medicine, Mar 15. </w:t>
      </w:r>
      <w:r>
        <w:rPr>
          <w:rFonts w:ascii="Times New Roman" w:hAnsi="Times New Roman"/>
          <w:szCs w:val="24"/>
          <w:lang w:val="en-US"/>
        </w:rPr>
        <w:t>doi: 10.1007/s11606-019-04832-y, 2019.</w:t>
      </w:r>
    </w:p>
    <w:p w14:paraId="41E620AA" w14:textId="571E4C85" w:rsidR="0085608A" w:rsidRPr="0028167F" w:rsidRDefault="00D6523B" w:rsidP="0085608A">
      <w:pPr>
        <w:pStyle w:val="Testo1"/>
        <w:spacing w:before="0" w:line="240" w:lineRule="atLeast"/>
        <w:rPr>
          <w:rFonts w:ascii="Times New Roman" w:hAnsi="Times New Roman"/>
          <w:spacing w:val="-5"/>
          <w:szCs w:val="24"/>
          <w:lang w:val="en-US"/>
        </w:rPr>
      </w:pPr>
      <w:r w:rsidRPr="00D6523B">
        <w:rPr>
          <w:rFonts w:ascii="Times New Roman" w:hAnsi="Times New Roman"/>
          <w:smallCaps/>
          <w:sz w:val="16"/>
          <w:szCs w:val="24"/>
          <w:lang w:val="en-US"/>
        </w:rPr>
        <w:t xml:space="preserve">S. </w:t>
      </w:r>
      <w:r w:rsidR="0085608A" w:rsidRPr="00D6523B">
        <w:rPr>
          <w:rFonts w:ascii="Times New Roman" w:hAnsi="Times New Roman"/>
          <w:smallCaps/>
          <w:sz w:val="16"/>
          <w:szCs w:val="24"/>
          <w:lang w:val="en-US"/>
        </w:rPr>
        <w:t>Mantwill</w:t>
      </w:r>
      <w:r w:rsidRPr="00D6523B">
        <w:rPr>
          <w:rFonts w:ascii="Times New Roman" w:hAnsi="Times New Roman"/>
          <w:smallCaps/>
          <w:sz w:val="16"/>
          <w:szCs w:val="24"/>
          <w:lang w:val="en-US"/>
        </w:rPr>
        <w:t xml:space="preserve">-A. </w:t>
      </w:r>
      <w:r w:rsidR="0085608A" w:rsidRPr="00D6523B">
        <w:rPr>
          <w:rFonts w:ascii="Times New Roman" w:hAnsi="Times New Roman"/>
          <w:smallCaps/>
          <w:sz w:val="16"/>
          <w:szCs w:val="24"/>
          <w:lang w:val="en-US"/>
        </w:rPr>
        <w:t>Allam</w:t>
      </w:r>
      <w:r w:rsidRPr="00D6523B">
        <w:rPr>
          <w:rFonts w:ascii="Times New Roman" w:hAnsi="Times New Roman"/>
          <w:smallCaps/>
          <w:sz w:val="16"/>
          <w:szCs w:val="24"/>
          <w:lang w:val="en-US"/>
        </w:rPr>
        <w:t>-A. Camerini-</w:t>
      </w:r>
      <w:r w:rsidR="0085608A" w:rsidRPr="00D6523B">
        <w:rPr>
          <w:rFonts w:ascii="Times New Roman" w:hAnsi="Times New Roman"/>
          <w:smallCaps/>
          <w:sz w:val="16"/>
          <w:szCs w:val="24"/>
          <w:lang w:val="en-US"/>
        </w:rPr>
        <w:t xml:space="preserve"> </w:t>
      </w:r>
      <w:r w:rsidRPr="00D6523B">
        <w:rPr>
          <w:rFonts w:ascii="Times New Roman" w:hAnsi="Times New Roman"/>
          <w:smallCaps/>
          <w:sz w:val="16"/>
          <w:szCs w:val="24"/>
          <w:lang w:val="en-US"/>
        </w:rPr>
        <w:t>P. J. Schulz</w:t>
      </w:r>
      <w:r>
        <w:rPr>
          <w:rFonts w:ascii="Times New Roman" w:hAnsi="Times New Roman"/>
          <w:szCs w:val="24"/>
          <w:lang w:val="en-US"/>
        </w:rPr>
        <w:t>, (2017)</w:t>
      </w:r>
      <w:r w:rsidR="0085608A" w:rsidRPr="0028167F">
        <w:rPr>
          <w:rFonts w:ascii="Times New Roman" w:hAnsi="Times New Roman"/>
          <w:szCs w:val="24"/>
          <w:lang w:val="en-US"/>
        </w:rPr>
        <w:t xml:space="preserve"> Validity of Three Brief Health Literacy Screeners to Measure Functional Health Literacy – Evidence from Five Different Countries. </w:t>
      </w:r>
      <w:r w:rsidR="0085608A" w:rsidRPr="0028167F">
        <w:rPr>
          <w:rFonts w:ascii="Times New Roman" w:hAnsi="Times New Roman"/>
          <w:i/>
          <w:szCs w:val="24"/>
          <w:lang w:val="en-US"/>
        </w:rPr>
        <w:t>Journal of Health Communication</w:t>
      </w:r>
      <w:r w:rsidR="0085608A" w:rsidRPr="0028167F">
        <w:rPr>
          <w:rFonts w:ascii="Times New Roman" w:hAnsi="Times New Roman"/>
          <w:szCs w:val="24"/>
          <w:lang w:val="en-US"/>
        </w:rPr>
        <w:t xml:space="preserve"> 23(2), 153-161. doi: 10.1080/10810730.2017.</w:t>
      </w:r>
    </w:p>
    <w:p w14:paraId="2CA83B22" w14:textId="77777777" w:rsidR="0085608A" w:rsidRPr="0028167F" w:rsidRDefault="0085608A" w:rsidP="0085608A">
      <w:pPr>
        <w:pStyle w:val="Testo1"/>
        <w:spacing w:before="0" w:line="240" w:lineRule="atLeast"/>
        <w:rPr>
          <w:rFonts w:ascii="Times New Roman" w:hAnsi="Times New Roman"/>
          <w:spacing w:val="-5"/>
          <w:szCs w:val="24"/>
          <w:lang w:val="en-US"/>
        </w:rPr>
      </w:pPr>
      <w:r w:rsidRPr="00D6523B">
        <w:rPr>
          <w:rFonts w:ascii="Times New Roman" w:hAnsi="Times New Roman"/>
          <w:smallCaps/>
          <w:spacing w:val="-5"/>
          <w:sz w:val="16"/>
          <w:szCs w:val="24"/>
          <w:lang w:val="en-US"/>
        </w:rPr>
        <w:t>D. Nutbeam</w:t>
      </w:r>
      <w:r w:rsidRPr="0028167F">
        <w:rPr>
          <w:rFonts w:ascii="Times New Roman" w:hAnsi="Times New Roman"/>
          <w:smallCaps/>
          <w:spacing w:val="-5"/>
          <w:szCs w:val="24"/>
          <w:lang w:val="en-US"/>
        </w:rPr>
        <w:t>,</w:t>
      </w:r>
      <w:r w:rsidRPr="0028167F">
        <w:rPr>
          <w:rFonts w:ascii="Times New Roman" w:hAnsi="Times New Roman"/>
          <w:i/>
          <w:spacing w:val="-5"/>
          <w:szCs w:val="24"/>
          <w:lang w:val="en-US"/>
        </w:rPr>
        <w:t xml:space="preserve"> The evolving concept of health literacy</w:t>
      </w:r>
      <w:r w:rsidRPr="0028167F">
        <w:rPr>
          <w:rFonts w:ascii="Times New Roman" w:hAnsi="Times New Roman"/>
          <w:spacing w:val="-5"/>
          <w:szCs w:val="24"/>
          <w:lang w:val="en-US"/>
        </w:rPr>
        <w:t>, Social Science &amp; Medicine</w:t>
      </w:r>
      <w:r w:rsidRPr="0028167F">
        <w:rPr>
          <w:rFonts w:ascii="Times New Roman" w:hAnsi="Times New Roman"/>
          <w:i/>
          <w:spacing w:val="-5"/>
          <w:szCs w:val="24"/>
          <w:lang w:val="en-US"/>
        </w:rPr>
        <w:t>,</w:t>
      </w:r>
      <w:r w:rsidRPr="0028167F">
        <w:rPr>
          <w:rFonts w:ascii="Times New Roman" w:hAnsi="Times New Roman"/>
          <w:spacing w:val="-5"/>
          <w:szCs w:val="24"/>
          <w:lang w:val="en-US"/>
        </w:rPr>
        <w:t xml:space="preserve"> 2008, 67: 2072-2078.</w:t>
      </w:r>
    </w:p>
    <w:p w14:paraId="4CF15799" w14:textId="77777777" w:rsidR="0085608A" w:rsidRPr="0028167F" w:rsidRDefault="0085608A" w:rsidP="0085608A">
      <w:pPr>
        <w:pStyle w:val="Testo1"/>
        <w:spacing w:before="0" w:line="240" w:lineRule="atLeast"/>
        <w:rPr>
          <w:rFonts w:ascii="Times New Roman" w:hAnsi="Times New Roman"/>
          <w:spacing w:val="-5"/>
          <w:szCs w:val="24"/>
        </w:rPr>
      </w:pPr>
      <w:r w:rsidRPr="00D6523B">
        <w:rPr>
          <w:rFonts w:ascii="Times New Roman" w:hAnsi="Times New Roman"/>
          <w:smallCaps/>
          <w:spacing w:val="-5"/>
          <w:sz w:val="16"/>
          <w:szCs w:val="24"/>
          <w:lang w:val="en-US"/>
        </w:rPr>
        <w:t>P.J. Schulz-K. Nakamoto</w:t>
      </w:r>
      <w:r w:rsidRPr="0028167F">
        <w:rPr>
          <w:rFonts w:ascii="Times New Roman" w:hAnsi="Times New Roman"/>
          <w:smallCaps/>
          <w:spacing w:val="-5"/>
          <w:szCs w:val="24"/>
          <w:lang w:val="en-US"/>
        </w:rPr>
        <w:t>,</w:t>
      </w:r>
      <w:r w:rsidRPr="0028167F">
        <w:rPr>
          <w:rFonts w:ascii="Times New Roman" w:hAnsi="Times New Roman"/>
          <w:i/>
          <w:spacing w:val="-5"/>
          <w:szCs w:val="24"/>
          <w:lang w:val="en-US"/>
        </w:rPr>
        <w:t xml:space="preserve"> Patient Behavior and the Benefits of Artificial Intelligence: The Perils of “Dangerous” Literacy and Illusory Patient Empowerment. </w:t>
      </w:r>
      <w:r w:rsidRPr="0028167F">
        <w:rPr>
          <w:rFonts w:ascii="Times New Roman" w:hAnsi="Times New Roman"/>
          <w:i/>
          <w:spacing w:val="-5"/>
          <w:szCs w:val="24"/>
        </w:rPr>
        <w:t xml:space="preserve">Patient Education and Counseling, </w:t>
      </w:r>
      <w:r w:rsidRPr="0028167F">
        <w:rPr>
          <w:rFonts w:ascii="Times New Roman" w:hAnsi="Times New Roman"/>
          <w:spacing w:val="-5"/>
          <w:szCs w:val="24"/>
        </w:rPr>
        <w:t>2013, 92(2), 223-8. doi: 10.1016/j.pec.2013.05.002.</w:t>
      </w:r>
    </w:p>
    <w:p w14:paraId="22F6BC01" w14:textId="4C6772DB" w:rsidR="00701EA4" w:rsidRPr="0028167F" w:rsidRDefault="0028167F" w:rsidP="0028167F">
      <w:pPr>
        <w:spacing w:before="240" w:after="120"/>
        <w:rPr>
          <w:rFonts w:ascii="Times New Roman" w:hAnsi="Times New Roman" w:cs="Times New Roman"/>
          <w:i/>
          <w:sz w:val="18"/>
        </w:rPr>
      </w:pPr>
      <w:r w:rsidRPr="0028167F">
        <w:rPr>
          <w:rFonts w:ascii="Times New Roman" w:hAnsi="Times New Roman" w:cs="Times New Roman"/>
          <w:b/>
          <w:bCs/>
          <w:i/>
          <w:sz w:val="18"/>
        </w:rPr>
        <w:lastRenderedPageBreak/>
        <w:t>DIDATTICA DEL CORSO</w:t>
      </w:r>
    </w:p>
    <w:p w14:paraId="456F1832" w14:textId="4BAE0E6B" w:rsidR="00701EA4" w:rsidRPr="00D6523B" w:rsidRDefault="00701EA4" w:rsidP="00D6523B">
      <w:pPr>
        <w:pStyle w:val="Testo2"/>
        <w:rPr>
          <w:rFonts w:ascii="Times New Roman" w:hAnsi="Times New Roman"/>
          <w:szCs w:val="24"/>
        </w:rPr>
      </w:pPr>
      <w:r w:rsidRPr="00D6523B">
        <w:rPr>
          <w:rFonts w:ascii="Times New Roman" w:hAnsi="Times New Roman"/>
          <w:szCs w:val="24"/>
        </w:rPr>
        <w:t>La struttura del corso prevede lezioni tenute a distanza, in sincrono, secondo il calendario delle lezion</w:t>
      </w:r>
      <w:r w:rsidR="00B11472" w:rsidRPr="00D6523B">
        <w:rPr>
          <w:rFonts w:ascii="Times New Roman" w:hAnsi="Times New Roman"/>
          <w:szCs w:val="24"/>
        </w:rPr>
        <w:t xml:space="preserve">i </w:t>
      </w:r>
      <w:r w:rsidRPr="00D6523B">
        <w:rPr>
          <w:rFonts w:ascii="Times New Roman" w:hAnsi="Times New Roman"/>
          <w:szCs w:val="24"/>
        </w:rPr>
        <w:t>in aula seguite da discussioni su varie tematiche, alle quali gli studenti sono tenuti a prepararsi leggendo alcuni testi forniti dal docente.</w:t>
      </w:r>
    </w:p>
    <w:p w14:paraId="4AED8362" w14:textId="6DB841A8" w:rsidR="00701EA4" w:rsidRPr="0028167F" w:rsidRDefault="0028167F" w:rsidP="0028167F">
      <w:pPr>
        <w:spacing w:before="240" w:after="120" w:line="220" w:lineRule="exact"/>
        <w:rPr>
          <w:rFonts w:ascii="Times New Roman" w:hAnsi="Times New Roman" w:cs="Times New Roman"/>
          <w:b/>
          <w:i/>
          <w:iCs/>
          <w:sz w:val="18"/>
          <w:lang w:val="de-CH"/>
        </w:rPr>
      </w:pPr>
      <w:r w:rsidRPr="0028167F">
        <w:rPr>
          <w:rFonts w:ascii="Times New Roman" w:hAnsi="Times New Roman" w:cs="Times New Roman"/>
          <w:b/>
          <w:i/>
          <w:iCs/>
          <w:sz w:val="18"/>
          <w:lang w:val="de-CH"/>
        </w:rPr>
        <w:t>METODO E CRITERI DI VALUTAZIONE</w:t>
      </w:r>
    </w:p>
    <w:p w14:paraId="14D61F78" w14:textId="39EB4F2B" w:rsidR="00701EA4" w:rsidRPr="00D6523B" w:rsidRDefault="00701EA4" w:rsidP="00701EA4">
      <w:pPr>
        <w:pStyle w:val="Testo2"/>
        <w:rPr>
          <w:rFonts w:ascii="Times New Roman" w:hAnsi="Times New Roman"/>
          <w:szCs w:val="24"/>
        </w:rPr>
      </w:pPr>
      <w:r w:rsidRPr="00D6523B">
        <w:rPr>
          <w:rFonts w:ascii="Times New Roman" w:hAnsi="Times New Roman"/>
          <w:szCs w:val="24"/>
        </w:rPr>
        <w:t>Il voto finale sarà determinato dalla valutazione di un saggio che ogni studente sarà tenuto a redigere a conclusione del corso. Nel saggio (4-5 pagine) gli studenti saranno chiamati a sviluppare in dettaglio il disegno di uno studio (study design) sul tema della “health literacy”, che includa tutti i componenti necessari per condurlo</w:t>
      </w:r>
      <w:r w:rsidR="0029693A" w:rsidRPr="00D6523B">
        <w:rPr>
          <w:rFonts w:ascii="Times New Roman" w:hAnsi="Times New Roman"/>
          <w:szCs w:val="24"/>
        </w:rPr>
        <w:t xml:space="preserve"> e la conoscenza della bibliografia richiesta</w:t>
      </w:r>
      <w:r w:rsidRPr="00D6523B">
        <w:rPr>
          <w:rFonts w:ascii="Times New Roman" w:hAnsi="Times New Roman"/>
          <w:szCs w:val="24"/>
        </w:rPr>
        <w:t>.</w:t>
      </w:r>
    </w:p>
    <w:p w14:paraId="75820267" w14:textId="0BD2788F" w:rsidR="00701EA4" w:rsidRPr="0028167F" w:rsidRDefault="0028167F" w:rsidP="0028167F">
      <w:pPr>
        <w:spacing w:before="240" w:after="120" w:line="240" w:lineRule="exact"/>
        <w:rPr>
          <w:rFonts w:ascii="Times New Roman" w:hAnsi="Times New Roman" w:cs="Times New Roman"/>
          <w:b/>
          <w:i/>
          <w:iCs/>
          <w:sz w:val="18"/>
          <w:lang w:val="de-CH"/>
        </w:rPr>
      </w:pPr>
      <w:r w:rsidRPr="0028167F">
        <w:rPr>
          <w:rFonts w:ascii="Times New Roman" w:hAnsi="Times New Roman" w:cs="Times New Roman"/>
          <w:b/>
          <w:i/>
          <w:iCs/>
          <w:sz w:val="18"/>
          <w:lang w:val="de-CH"/>
        </w:rPr>
        <w:t>AVVERTENZE E PREREQUISITI</w:t>
      </w:r>
    </w:p>
    <w:p w14:paraId="08BC9B4F" w14:textId="77777777" w:rsidR="00D6523B" w:rsidRPr="00D6523B" w:rsidRDefault="00D6523B" w:rsidP="00D6523B">
      <w:pPr>
        <w:spacing w:line="220" w:lineRule="exact"/>
        <w:ind w:firstLine="284"/>
        <w:jc w:val="both"/>
        <w:rPr>
          <w:rFonts w:ascii="Times New Roman" w:eastAsia="Times New Roman" w:hAnsi="Times New Roman" w:cs="Times New Roman"/>
          <w:iCs/>
          <w:noProof/>
          <w:sz w:val="18"/>
          <w:szCs w:val="18"/>
          <w:lang w:eastAsia="it-IT"/>
        </w:rPr>
      </w:pPr>
      <w:r w:rsidRPr="00D6523B">
        <w:rPr>
          <w:rFonts w:ascii="Times New Roman" w:eastAsia="Times New Roman" w:hAnsi="Times New Roman" w:cs="Times New Roman"/>
          <w:iCs/>
          <w:noProof/>
          <w:sz w:val="18"/>
          <w:szCs w:val="18"/>
          <w:lang w:eastAsia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17A31205" w14:textId="77777777" w:rsidR="00701EA4" w:rsidRPr="00D6523B" w:rsidRDefault="00701EA4" w:rsidP="00701EA4">
      <w:pPr>
        <w:pStyle w:val="Testo2"/>
        <w:rPr>
          <w:rFonts w:ascii="Times New Roman" w:hAnsi="Times New Roman"/>
          <w:i/>
          <w:szCs w:val="24"/>
        </w:rPr>
      </w:pPr>
      <w:r w:rsidRPr="00D6523B">
        <w:rPr>
          <w:rFonts w:ascii="Times New Roman" w:hAnsi="Times New Roman"/>
          <w:i/>
          <w:szCs w:val="24"/>
        </w:rPr>
        <w:t>Orario e luogo di ricevimento</w:t>
      </w:r>
    </w:p>
    <w:p w14:paraId="2F9C6303" w14:textId="050C484D" w:rsidR="00701EA4" w:rsidRPr="00D6523B" w:rsidRDefault="00701EA4" w:rsidP="00D6523B">
      <w:pPr>
        <w:pStyle w:val="Testo2"/>
        <w:rPr>
          <w:rFonts w:ascii="Times New Roman" w:hAnsi="Times New Roman"/>
          <w:szCs w:val="24"/>
        </w:rPr>
      </w:pPr>
      <w:r w:rsidRPr="00D6523B">
        <w:rPr>
          <w:rFonts w:ascii="Times New Roman" w:hAnsi="Times New Roman"/>
          <w:szCs w:val="24"/>
        </w:rPr>
        <w:t>Il Prof. Peter J. Schulz sarà disponibile alla fine di ogni lezione per rispondere a domande sul contenuto del corso.</w:t>
      </w:r>
    </w:p>
    <w:sectPr w:rsidR="00701EA4" w:rsidRPr="00D6523B" w:rsidSect="0028167F"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B6"/>
    <w:rsid w:val="00233CAD"/>
    <w:rsid w:val="0028167F"/>
    <w:rsid w:val="0029693A"/>
    <w:rsid w:val="00373589"/>
    <w:rsid w:val="007006E1"/>
    <w:rsid w:val="00701EA4"/>
    <w:rsid w:val="0085608A"/>
    <w:rsid w:val="00904E85"/>
    <w:rsid w:val="00A40E60"/>
    <w:rsid w:val="00A45C6C"/>
    <w:rsid w:val="00B11472"/>
    <w:rsid w:val="00BD48B7"/>
    <w:rsid w:val="00C540DA"/>
    <w:rsid w:val="00D109B6"/>
    <w:rsid w:val="00D6523B"/>
    <w:rsid w:val="00E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8BE"/>
  <w15:chartTrackingRefBased/>
  <w15:docId w15:val="{CDC2CF3F-D19D-CD46-AD20-3144ECF9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85608A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701EA4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93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 Peter</dc:creator>
  <cp:keywords/>
  <dc:description/>
  <cp:lastModifiedBy>Grassi Monica Barbara</cp:lastModifiedBy>
  <cp:revision>5</cp:revision>
  <dcterms:created xsi:type="dcterms:W3CDTF">2021-05-02T15:06:00Z</dcterms:created>
  <dcterms:modified xsi:type="dcterms:W3CDTF">2022-04-19T12:07:00Z</dcterms:modified>
</cp:coreProperties>
</file>